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D038EE"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29.55pt;margin-top:306.8pt;width:521.7pt;height: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9FrwIAAKo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rQw1Rl6lYLTfQ9ueoRt6LLNVPV3ovyuEBfrhvAdvZFSDA0lFbDzzU332dUJ&#10;RxmQ7fBJVBCG7LWwQGMtO1M6KAYCdOjS46kzhkoJm3EcRFECRyWc+UG0uPRs71ySztd7qfQHKjpk&#10;jAxLaL2FJ4c7pQ0dks4uJhoXBWtb2/6Wv9gAx2kHgsNVc2Zo2G4+JV6yWW6WoRMG8cYJvTx3bop1&#10;6MSFv4jyy3y9zv1fJq4fpg2rKspNmFlZfvhnnTtqfNLESVtKtKwycIaSkrvtupXoQEDZhf1s0eHk&#10;7Oa+pGGLALm8SskPQu82SJwiXi6csAgjJ1l4S8fzk9sk9sIkzIuXKd0xTv89JTRkOImCaFLTmfSr&#10;3Dz7vc2NpB3TMDta1mV4eXIiqdHghle2tZqwdrKflcLQP5cC2j032irWiHSSqx63I6AYGW9F9Qja&#10;lQKUBSqEgQdGI+RPjAYYHhlWP/ZEUozajxz0bybNbMjZ2M4G4SVczbDGaDLXeppI+16yXQPI0wvj&#10;4gbeSM2ses8sji8LBoJN4ji8zMR5/m+9ziN29RsAAP//AwBQSwMEFAAGAAgAAAAhABgUOTHhAAAA&#10;CwEAAA8AAABkcnMvZG93bnJldi54bWxMj8FOwzAQRO9I/IO1SNxaxxSiJGRTVQhOSIg0HDg6sZtY&#10;jdchdtvw95gTHFfzNPO23C52ZGc9e+MIQawTYJo6pwz1CB/NyyoD5oMkJUdHGuFbe9hW11elLJS7&#10;UK3P+9CzWEK+kAhDCFPBue8GbaVfu0lTzA5utjLEc+65muUlltuR3yVJyq00FBcGOemnQXfH/cki&#10;7D6pfjZfb+17fahN0+QJvaZHxNubZfcILOgl/MHwqx/VoYpOrTuR8mxEWD3kIqIIqdikwCKRZ/cb&#10;YC1CJkQKvCr5/x+qHwAAAP//AwBQSwECLQAUAAYACAAAACEAtoM4kv4AAADhAQAAEwAAAAAAAAAA&#10;AAAAAAAAAAAAW0NvbnRlbnRfVHlwZXNdLnhtbFBLAQItABQABgAIAAAAIQA4/SH/1gAAAJQBAAAL&#10;AAAAAAAAAAAAAAAAAC8BAABfcmVscy8ucmVsc1BLAQItABQABgAIAAAAIQCiRf9FrwIAAKoFAAAO&#10;AAAAAAAAAAAAAAAAAC4CAABkcnMvZTJvRG9jLnhtbFBLAQItABQABgAIAAAAIQAYFDkx4QAAAAsB&#10;AAAPAAAAAAAAAAAAAAAAAAkFAABkcnMvZG93bnJldi54bWxQSwUGAAAAAAQABADzAAAAFwYAAAAA&#10;" o:allowoverlap="f" filled="f" stroked="f">
            <v:textbox inset="0,0,0,0">
              <w:txbxContent>
                <w:p w:rsidR="00054ADF" w:rsidRPr="00822BA3" w:rsidRDefault="00054ADF"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054ADF" w:rsidRPr="00822BA3" w:rsidRDefault="00054ADF" w:rsidP="00AF7DF4">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73068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Sub Annex C-MI 01</w:t>
                  </w:r>
                  <w:r w:rsidRPr="00B04545">
                    <w:rPr>
                      <w:rFonts w:ascii="Helvetica" w:hAnsi="Helvetica"/>
                      <w:b w:val="0"/>
                      <w:color w:val="00559B"/>
                      <w:sz w:val="40"/>
                      <w:szCs w:val="40"/>
                    </w:rPr>
                    <w:t xml:space="preserve"> </w:t>
                  </w:r>
                  <w:r>
                    <w:rPr>
                      <w:rFonts w:ascii="Helvetica" w:hAnsi="Helvetica"/>
                      <w:b w:val="0"/>
                      <w:color w:val="00559B"/>
                      <w:sz w:val="40"/>
                      <w:szCs w:val="40"/>
                    </w:rPr>
                    <w:t xml:space="preserve">Mobile </w:t>
                  </w:r>
                  <w:r w:rsidRPr="00CF3E22">
                    <w:rPr>
                      <w:rFonts w:ascii="Helvetica" w:hAnsi="Helvetica"/>
                      <w:b w:val="0"/>
                      <w:color w:val="00559B"/>
                      <w:sz w:val="40"/>
                      <w:szCs w:val="40"/>
                    </w:rPr>
                    <w:t>Ancillary Services</w:t>
                  </w:r>
                </w:p>
              </w:txbxContent>
            </v:textbox>
            <w10:wrap type="tight" anchorx="margin" anchory="page"/>
          </v:shape>
        </w:pict>
      </w:r>
      <w:r>
        <w:rPr>
          <w:noProof/>
        </w:rPr>
        <w:pict>
          <v:shape id="Text Box 8" o:spid="_x0000_s1027" type="#_x0000_t202" style="position:absolute;margin-left:40.9pt;margin-top:433pt;width:229.55pt;height:12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XCrgIAALEFAAAOAAAAZHJzL2Uyb0RvYy54bWysVG1vmzAQ/j5p/8Hyd8rLCAVUUrUhTJO6&#10;F6ndD3DABGtgM9sJdNX++84mJGmrSdM2kNBhn5+75+7xXV2PXYv2VComeIb9Cw8jyktRMb7N8NeH&#10;wokxUprwirSC0ww/UoWvl2/fXA19SgPRiLaiEgEIV+nQZ7jRuk9dV5UN7Yi6ED3lsFkL2RENv3Lr&#10;VpIMgN61buB5kTsIWfVSlFQpWM2nTby0+HVNS/25rhXVqM0w5KbtV9rvxnzd5RVJt5L0DSsPaZC/&#10;yKIjjEPQI1RONEE7yV5BdayUQolaX5Sic0Vds5JaDsDG916wuW9ITy0XKI7qj2VS/w+2/LT/IhGr&#10;MhxhxEkHLXqgo0a3YkSxqc7QqxSc7ntw0yMsQ5ctU9XfifKbQlysGsK39EZKMTSUVJCdb066Z0cn&#10;HGVANsNHUUEYstPCAo217EzpoBgI0KFLj8fOmFRKWAwSfxHEC4xK2PMjL4HXxiDpfLyXSr+nokPG&#10;yLCE1lt4sr9T2qRD0tnFROOiYG1r29/yZwvgOK1AcDhq9kwatptPEHgdr+PQCYNo7YRenjs3xSp0&#10;osK/XOTv8tUq93+auH6YNqyqKDdhZmX54Z917qDxSRNHbSnRssrAmZSU3G5WrUR7Asou7HMoyJmb&#10;+zwNWwTg8oKSH4TebZA4RRRfOmERLpzk0osdz09uk8gLkzAvnlO6Y5z+OyU0ZDhZBItJTb/l5tnn&#10;NTeSdkzD7GhZl+H46ERSo8E1r2xrNWHtZJ+VwqR/KgW0e260VawR6SRXPW5GezWsnI2aN6J6BAlL&#10;AQIDncLcA6MR8gdGA8yQDKvvOyIpRu0HDtfADJzZkLOxmQ3CSziaYY3RZK70NJh2vWTbBpCni8bF&#10;DVyVmlkRn7I4XDCYC5bLYYaZwXP+b71Ok3b5CwAA//8DAFBLAwQUAAYACAAAACEA/GyT2eAAAAAL&#10;AQAADwAAAGRycy9kb3ducmV2LnhtbEyPwU7DMAyG70i8Q2QkbiwpGtVamk4TghMSoisHjmnrtdEa&#10;pzTZVt4ec4KTZfnT7+8vtosbxRnnYD1pSFYKBFLrO0u9ho/65W4DIkRDnRk9oYZvDLAtr68Kk3f+&#10;QhWe97EXHEIhNxqGGKdcytAO6ExY+QmJbwc/OxN5nXvZzebC4W6U90ql0hlL/GEwEz4N2B73J6dh&#10;90nVs/16a96rQ2XrOlP0mh61vr1Zdo8gIi7xD4ZffVaHkp0af6IuiFHDJmHzyDNNuRMDD2uVgWiY&#10;TJJsDbIs5P8O5Q8AAAD//wMAUEsBAi0AFAAGAAgAAAAhALaDOJL+AAAA4QEAABMAAAAAAAAAAAAA&#10;AAAAAAAAAFtDb250ZW50X1R5cGVzXS54bWxQSwECLQAUAAYACAAAACEAOP0h/9YAAACUAQAACwAA&#10;AAAAAAAAAAAAAAAvAQAAX3JlbHMvLnJlbHNQSwECLQAUAAYACAAAACEAryDVwq4CAACxBQAADgAA&#10;AAAAAAAAAAAAAAAuAgAAZHJzL2Uyb0RvYy54bWxQSwECLQAUAAYACAAAACEA/GyT2eAAAAALAQAA&#10;DwAAAAAAAAAAAAAAAAAIBQAAZHJzL2Rvd25yZXYueG1sUEsFBgAAAAAEAAQA8wAAABUGAAAAAA==&#10;" filled="f" stroked="f">
            <v:textbox inset="0,0,0,0">
              <w:txbxContent>
                <w:p w:rsidR="00054ADF" w:rsidRPr="002A3A70" w:rsidRDefault="00054ADF" w:rsidP="0029357C">
                  <w:pPr>
                    <w:spacing w:before="120"/>
                  </w:pPr>
                </w:p>
                <w:p w:rsidR="00054ADF" w:rsidRPr="002A3A70" w:rsidRDefault="00054ADF" w:rsidP="0029357C">
                  <w:pPr>
                    <w:spacing w:before="120"/>
                  </w:pPr>
                </w:p>
                <w:p w:rsidR="00054ADF" w:rsidRPr="002A3A70" w:rsidRDefault="00054ADF" w:rsidP="0029357C">
                  <w:pPr>
                    <w:spacing w:before="120"/>
                  </w:pPr>
                </w:p>
              </w:txbxContent>
            </v:textbox>
            <w10:wrap anchorx="page" anchory="page"/>
          </v:shape>
        </w:pict>
      </w:r>
    </w:p>
    <w:p w:rsidR="003F41F3" w:rsidRPr="00F2549C" w:rsidRDefault="004754F9">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B57A80">
        <w:rPr>
          <w:color w:val="4A93D1"/>
          <w:sz w:val="32"/>
          <w:szCs w:val="32"/>
          <w:u w:val="single"/>
        </w:rPr>
        <w:t>s</w:t>
      </w:r>
    </w:p>
    <w:p w:rsidR="003F41F3" w:rsidRDefault="003F41F3">
      <w:pPr>
        <w:spacing w:after="0" w:line="240" w:lineRule="auto"/>
        <w:rPr>
          <w:rFonts w:eastAsia="Times"/>
          <w:kern w:val="32"/>
          <w:sz w:val="24"/>
        </w:rPr>
      </w:pPr>
    </w:p>
    <w:p w:rsidR="00730686" w:rsidRDefault="00394D16">
      <w:pPr>
        <w:pStyle w:val="TOC1"/>
        <w:rPr>
          <w:rFonts w:asciiTheme="minorHAnsi" w:eastAsiaTheme="minorEastAsia" w:hAnsiTheme="minorHAnsi" w:cstheme="minorBidi"/>
          <w:b w:val="0"/>
          <w:color w:val="auto"/>
          <w:sz w:val="22"/>
          <w:szCs w:val="22"/>
        </w:rPr>
      </w:pPr>
      <w:r>
        <w:rPr>
          <w:bCs/>
        </w:rPr>
        <w:fldChar w:fldCharType="begin"/>
      </w:r>
      <w:r w:rsidR="00552234">
        <w:rPr>
          <w:bCs/>
        </w:rPr>
        <w:instrText xml:space="preserve"> TOC \o "1-3" \h \z \u </w:instrText>
      </w:r>
      <w:r>
        <w:rPr>
          <w:bCs/>
        </w:rPr>
        <w:fldChar w:fldCharType="separate"/>
      </w:r>
      <w:hyperlink w:anchor="_Toc450895594" w:history="1">
        <w:r w:rsidR="00730686" w:rsidRPr="00EE6742">
          <w:rPr>
            <w:rStyle w:val="Hyperlink"/>
            <w:rFonts w:cs="Times New Roman"/>
          </w:rPr>
          <w:t>1</w:t>
        </w:r>
        <w:r w:rsidR="00730686">
          <w:rPr>
            <w:rFonts w:asciiTheme="minorHAnsi" w:eastAsiaTheme="minorEastAsia" w:hAnsiTheme="minorHAnsi" w:cstheme="minorBidi"/>
            <w:b w:val="0"/>
            <w:color w:val="auto"/>
            <w:sz w:val="22"/>
            <w:szCs w:val="22"/>
          </w:rPr>
          <w:tab/>
        </w:r>
        <w:r w:rsidR="00730686" w:rsidRPr="00EE6742">
          <w:rPr>
            <w:rStyle w:val="Hyperlink"/>
          </w:rPr>
          <w:t>General</w:t>
        </w:r>
        <w:r w:rsidR="00730686">
          <w:rPr>
            <w:webHidden/>
          </w:rPr>
          <w:tab/>
        </w:r>
        <w:r>
          <w:rPr>
            <w:webHidden/>
          </w:rPr>
          <w:fldChar w:fldCharType="begin"/>
        </w:r>
        <w:r w:rsidR="00730686">
          <w:rPr>
            <w:webHidden/>
          </w:rPr>
          <w:instrText xml:space="preserve"> PAGEREF _Toc450895594 \h </w:instrText>
        </w:r>
        <w:r>
          <w:rPr>
            <w:webHidden/>
          </w:rPr>
        </w:r>
        <w:r>
          <w:rPr>
            <w:webHidden/>
          </w:rPr>
          <w:fldChar w:fldCharType="separate"/>
        </w:r>
        <w:r w:rsidR="00730686">
          <w:rPr>
            <w:webHidden/>
          </w:rPr>
          <w:t>3</w:t>
        </w:r>
        <w:r>
          <w:rPr>
            <w:webHidden/>
          </w:rPr>
          <w:fldChar w:fldCharType="end"/>
        </w:r>
      </w:hyperlink>
    </w:p>
    <w:p w:rsidR="00730686" w:rsidRDefault="00D038EE">
      <w:pPr>
        <w:pStyle w:val="TOC1"/>
        <w:rPr>
          <w:rFonts w:asciiTheme="minorHAnsi" w:eastAsiaTheme="minorEastAsia" w:hAnsiTheme="minorHAnsi" w:cstheme="minorBidi"/>
          <w:b w:val="0"/>
          <w:color w:val="auto"/>
          <w:sz w:val="22"/>
          <w:szCs w:val="22"/>
        </w:rPr>
      </w:pPr>
      <w:hyperlink w:anchor="_Toc450895595" w:history="1">
        <w:r w:rsidR="00730686" w:rsidRPr="00EE6742">
          <w:rPr>
            <w:rStyle w:val="Hyperlink"/>
            <w:rFonts w:cs="Times New Roman"/>
          </w:rPr>
          <w:t>2</w:t>
        </w:r>
        <w:r w:rsidR="00730686">
          <w:rPr>
            <w:rFonts w:asciiTheme="minorHAnsi" w:eastAsiaTheme="minorEastAsia" w:hAnsiTheme="minorHAnsi" w:cstheme="minorBidi"/>
            <w:b w:val="0"/>
            <w:color w:val="auto"/>
            <w:sz w:val="22"/>
            <w:szCs w:val="22"/>
          </w:rPr>
          <w:tab/>
        </w:r>
        <w:r w:rsidR="00730686" w:rsidRPr="00EE6742">
          <w:rPr>
            <w:rStyle w:val="Hyperlink"/>
          </w:rPr>
          <w:t>Definitions</w:t>
        </w:r>
        <w:r w:rsidR="00730686">
          <w:rPr>
            <w:webHidden/>
          </w:rPr>
          <w:tab/>
        </w:r>
        <w:r w:rsidR="00394D16">
          <w:rPr>
            <w:webHidden/>
          </w:rPr>
          <w:fldChar w:fldCharType="begin"/>
        </w:r>
        <w:r w:rsidR="00730686">
          <w:rPr>
            <w:webHidden/>
          </w:rPr>
          <w:instrText xml:space="preserve"> PAGEREF _Toc450895595 \h </w:instrText>
        </w:r>
        <w:r w:rsidR="00394D16">
          <w:rPr>
            <w:webHidden/>
          </w:rPr>
        </w:r>
        <w:r w:rsidR="00394D16">
          <w:rPr>
            <w:webHidden/>
          </w:rPr>
          <w:fldChar w:fldCharType="separate"/>
        </w:r>
        <w:r w:rsidR="00730686">
          <w:rPr>
            <w:webHidden/>
          </w:rPr>
          <w:t>4</w:t>
        </w:r>
        <w:r w:rsidR="00394D16">
          <w:rPr>
            <w:webHidden/>
          </w:rPr>
          <w:fldChar w:fldCharType="end"/>
        </w:r>
      </w:hyperlink>
    </w:p>
    <w:p w:rsidR="00730686" w:rsidRDefault="00D038EE">
      <w:pPr>
        <w:pStyle w:val="TOC1"/>
        <w:rPr>
          <w:rFonts w:asciiTheme="minorHAnsi" w:eastAsiaTheme="minorEastAsia" w:hAnsiTheme="minorHAnsi" w:cstheme="minorBidi"/>
          <w:b w:val="0"/>
          <w:color w:val="auto"/>
          <w:sz w:val="22"/>
          <w:szCs w:val="22"/>
        </w:rPr>
      </w:pPr>
      <w:hyperlink w:anchor="_Toc450895596" w:history="1">
        <w:r w:rsidR="00730686" w:rsidRPr="00EE6742">
          <w:rPr>
            <w:rStyle w:val="Hyperlink"/>
            <w:rFonts w:cs="Times New Roman"/>
          </w:rPr>
          <w:t>3</w:t>
        </w:r>
        <w:r w:rsidR="00730686">
          <w:rPr>
            <w:rFonts w:asciiTheme="minorHAnsi" w:eastAsiaTheme="minorEastAsia" w:hAnsiTheme="minorHAnsi" w:cstheme="minorBidi"/>
            <w:b w:val="0"/>
            <w:color w:val="auto"/>
            <w:sz w:val="22"/>
            <w:szCs w:val="22"/>
          </w:rPr>
          <w:tab/>
        </w:r>
        <w:r w:rsidR="00730686" w:rsidRPr="00EE6742">
          <w:rPr>
            <w:rStyle w:val="Hyperlink"/>
          </w:rPr>
          <w:t>Point of Interconnection</w:t>
        </w:r>
        <w:r w:rsidR="00730686">
          <w:rPr>
            <w:webHidden/>
          </w:rPr>
          <w:tab/>
        </w:r>
        <w:r w:rsidR="00394D16">
          <w:rPr>
            <w:webHidden/>
          </w:rPr>
          <w:fldChar w:fldCharType="begin"/>
        </w:r>
        <w:r w:rsidR="00730686">
          <w:rPr>
            <w:webHidden/>
          </w:rPr>
          <w:instrText xml:space="preserve"> PAGEREF _Toc450895596 \h </w:instrText>
        </w:r>
        <w:r w:rsidR="00394D16">
          <w:rPr>
            <w:webHidden/>
          </w:rPr>
        </w:r>
        <w:r w:rsidR="00394D16">
          <w:rPr>
            <w:webHidden/>
          </w:rPr>
          <w:fldChar w:fldCharType="separate"/>
        </w:r>
        <w:r w:rsidR="00730686">
          <w:rPr>
            <w:webHidden/>
          </w:rPr>
          <w:t>5</w:t>
        </w:r>
        <w:r w:rsidR="00394D16">
          <w:rPr>
            <w:webHidden/>
          </w:rPr>
          <w:fldChar w:fldCharType="end"/>
        </w:r>
      </w:hyperlink>
    </w:p>
    <w:p w:rsidR="00730686" w:rsidRDefault="00D038EE">
      <w:pPr>
        <w:pStyle w:val="TOC1"/>
        <w:rPr>
          <w:rFonts w:asciiTheme="minorHAnsi" w:eastAsiaTheme="minorEastAsia" w:hAnsiTheme="minorHAnsi" w:cstheme="minorBidi"/>
          <w:b w:val="0"/>
          <w:color w:val="auto"/>
          <w:sz w:val="22"/>
          <w:szCs w:val="22"/>
        </w:rPr>
      </w:pPr>
      <w:hyperlink w:anchor="_Toc450895597" w:history="1">
        <w:r w:rsidR="00730686" w:rsidRPr="00EE6742">
          <w:rPr>
            <w:rStyle w:val="Hyperlink"/>
            <w:rFonts w:cs="Times New Roman"/>
          </w:rPr>
          <w:t>4</w:t>
        </w:r>
        <w:r w:rsidR="00730686">
          <w:rPr>
            <w:rFonts w:asciiTheme="minorHAnsi" w:eastAsiaTheme="minorEastAsia" w:hAnsiTheme="minorHAnsi" w:cstheme="minorBidi"/>
            <w:b w:val="0"/>
            <w:color w:val="auto"/>
            <w:sz w:val="22"/>
            <w:szCs w:val="22"/>
          </w:rPr>
          <w:tab/>
        </w:r>
        <w:r w:rsidR="00730686" w:rsidRPr="00EE6742">
          <w:rPr>
            <w:rStyle w:val="Hyperlink"/>
          </w:rPr>
          <w:t>Mobile Port Capacity Service</w:t>
        </w:r>
        <w:r w:rsidR="00730686">
          <w:rPr>
            <w:webHidden/>
          </w:rPr>
          <w:tab/>
        </w:r>
        <w:r w:rsidR="00394D16">
          <w:rPr>
            <w:webHidden/>
          </w:rPr>
          <w:fldChar w:fldCharType="begin"/>
        </w:r>
        <w:r w:rsidR="00730686">
          <w:rPr>
            <w:webHidden/>
          </w:rPr>
          <w:instrText xml:space="preserve"> PAGEREF _Toc450895597 \h </w:instrText>
        </w:r>
        <w:r w:rsidR="00394D16">
          <w:rPr>
            <w:webHidden/>
          </w:rPr>
        </w:r>
        <w:r w:rsidR="00394D16">
          <w:rPr>
            <w:webHidden/>
          </w:rPr>
          <w:fldChar w:fldCharType="separate"/>
        </w:r>
        <w:r w:rsidR="00730686">
          <w:rPr>
            <w:webHidden/>
          </w:rPr>
          <w:t>7</w:t>
        </w:r>
        <w:r w:rsidR="00394D16">
          <w:rPr>
            <w:webHidden/>
          </w:rPr>
          <w:fldChar w:fldCharType="end"/>
        </w:r>
      </w:hyperlink>
    </w:p>
    <w:p w:rsidR="00730686" w:rsidRDefault="00D038EE">
      <w:pPr>
        <w:pStyle w:val="TOC1"/>
        <w:rPr>
          <w:rFonts w:asciiTheme="minorHAnsi" w:eastAsiaTheme="minorEastAsia" w:hAnsiTheme="minorHAnsi" w:cstheme="minorBidi"/>
          <w:b w:val="0"/>
          <w:color w:val="auto"/>
          <w:sz w:val="22"/>
          <w:szCs w:val="22"/>
        </w:rPr>
      </w:pPr>
      <w:hyperlink w:anchor="_Toc450895598" w:history="1">
        <w:r w:rsidR="00730686" w:rsidRPr="00EE6742">
          <w:rPr>
            <w:rStyle w:val="Hyperlink"/>
            <w:rFonts w:cs="Times New Roman"/>
          </w:rPr>
          <w:t>5</w:t>
        </w:r>
        <w:r w:rsidR="00730686">
          <w:rPr>
            <w:rFonts w:asciiTheme="minorHAnsi" w:eastAsiaTheme="minorEastAsia" w:hAnsiTheme="minorHAnsi" w:cstheme="minorBidi"/>
            <w:b w:val="0"/>
            <w:color w:val="auto"/>
            <w:sz w:val="22"/>
            <w:szCs w:val="22"/>
          </w:rPr>
          <w:tab/>
        </w:r>
        <w:r w:rsidR="00730686" w:rsidRPr="00EE6742">
          <w:rPr>
            <w:rStyle w:val="Hyperlink"/>
          </w:rPr>
          <w:t>Number Ranges Implementation</w:t>
        </w:r>
        <w:r w:rsidR="00730686">
          <w:rPr>
            <w:webHidden/>
          </w:rPr>
          <w:tab/>
        </w:r>
        <w:r w:rsidR="00394D16">
          <w:rPr>
            <w:webHidden/>
          </w:rPr>
          <w:fldChar w:fldCharType="begin"/>
        </w:r>
        <w:r w:rsidR="00730686">
          <w:rPr>
            <w:webHidden/>
          </w:rPr>
          <w:instrText xml:space="preserve"> PAGEREF _Toc450895598 \h </w:instrText>
        </w:r>
        <w:r w:rsidR="00394D16">
          <w:rPr>
            <w:webHidden/>
          </w:rPr>
        </w:r>
        <w:r w:rsidR="00394D16">
          <w:rPr>
            <w:webHidden/>
          </w:rPr>
          <w:fldChar w:fldCharType="separate"/>
        </w:r>
        <w:r w:rsidR="00730686">
          <w:rPr>
            <w:webHidden/>
          </w:rPr>
          <w:t>9</w:t>
        </w:r>
        <w:r w:rsidR="00394D16">
          <w:rPr>
            <w:webHidden/>
          </w:rPr>
          <w:fldChar w:fldCharType="end"/>
        </w:r>
      </w:hyperlink>
    </w:p>
    <w:p w:rsidR="00730686" w:rsidRDefault="00D038EE">
      <w:pPr>
        <w:pStyle w:val="TOC1"/>
        <w:rPr>
          <w:rFonts w:asciiTheme="minorHAnsi" w:eastAsiaTheme="minorEastAsia" w:hAnsiTheme="minorHAnsi" w:cstheme="minorBidi"/>
          <w:b w:val="0"/>
          <w:color w:val="auto"/>
          <w:sz w:val="22"/>
          <w:szCs w:val="22"/>
        </w:rPr>
      </w:pPr>
      <w:hyperlink w:anchor="_Toc450895599" w:history="1">
        <w:r w:rsidR="00730686" w:rsidRPr="00EE6742">
          <w:rPr>
            <w:rStyle w:val="Hyperlink"/>
            <w:rFonts w:cs="Times New Roman"/>
          </w:rPr>
          <w:t>6</w:t>
        </w:r>
        <w:r w:rsidR="00730686">
          <w:rPr>
            <w:rFonts w:asciiTheme="minorHAnsi" w:eastAsiaTheme="minorEastAsia" w:hAnsiTheme="minorHAnsi" w:cstheme="minorBidi"/>
            <w:b w:val="0"/>
            <w:color w:val="auto"/>
            <w:sz w:val="22"/>
            <w:szCs w:val="22"/>
          </w:rPr>
          <w:tab/>
        </w:r>
        <w:r w:rsidR="00730686" w:rsidRPr="00EE6742">
          <w:rPr>
            <w:rStyle w:val="Hyperlink"/>
          </w:rPr>
          <w:t>Ordering and Delivery</w:t>
        </w:r>
        <w:r w:rsidR="00730686">
          <w:rPr>
            <w:webHidden/>
          </w:rPr>
          <w:tab/>
        </w:r>
        <w:r w:rsidR="00394D16">
          <w:rPr>
            <w:webHidden/>
          </w:rPr>
          <w:fldChar w:fldCharType="begin"/>
        </w:r>
        <w:r w:rsidR="00730686">
          <w:rPr>
            <w:webHidden/>
          </w:rPr>
          <w:instrText xml:space="preserve"> PAGEREF _Toc450895599 \h </w:instrText>
        </w:r>
        <w:r w:rsidR="00394D16">
          <w:rPr>
            <w:webHidden/>
          </w:rPr>
        </w:r>
        <w:r w:rsidR="00394D16">
          <w:rPr>
            <w:webHidden/>
          </w:rPr>
          <w:fldChar w:fldCharType="separate"/>
        </w:r>
        <w:r w:rsidR="00730686">
          <w:rPr>
            <w:webHidden/>
          </w:rPr>
          <w:t>11</w:t>
        </w:r>
        <w:r w:rsidR="00394D16">
          <w:rPr>
            <w:webHidden/>
          </w:rPr>
          <w:fldChar w:fldCharType="end"/>
        </w:r>
      </w:hyperlink>
    </w:p>
    <w:p w:rsidR="00730686" w:rsidRDefault="00D038EE">
      <w:pPr>
        <w:pStyle w:val="TOC1"/>
        <w:rPr>
          <w:rFonts w:asciiTheme="minorHAnsi" w:eastAsiaTheme="minorEastAsia" w:hAnsiTheme="minorHAnsi" w:cstheme="minorBidi"/>
          <w:b w:val="0"/>
          <w:color w:val="auto"/>
          <w:sz w:val="22"/>
          <w:szCs w:val="22"/>
        </w:rPr>
      </w:pPr>
      <w:hyperlink w:anchor="_Toc450895600" w:history="1">
        <w:r w:rsidR="00730686" w:rsidRPr="00EE6742">
          <w:rPr>
            <w:rStyle w:val="Hyperlink"/>
            <w:rFonts w:cs="Times New Roman"/>
          </w:rPr>
          <w:t>7</w:t>
        </w:r>
        <w:r w:rsidR="00730686">
          <w:rPr>
            <w:rFonts w:asciiTheme="minorHAnsi" w:eastAsiaTheme="minorEastAsia" w:hAnsiTheme="minorHAnsi" w:cstheme="minorBidi"/>
            <w:b w:val="0"/>
            <w:color w:val="auto"/>
            <w:sz w:val="22"/>
            <w:szCs w:val="22"/>
          </w:rPr>
          <w:tab/>
        </w:r>
        <w:r w:rsidR="00730686" w:rsidRPr="00EE6742">
          <w:rPr>
            <w:rStyle w:val="Hyperlink"/>
          </w:rPr>
          <w:t>Tariff</w:t>
        </w:r>
        <w:r w:rsidR="00730686">
          <w:rPr>
            <w:webHidden/>
          </w:rPr>
          <w:tab/>
        </w:r>
        <w:r w:rsidR="00394D16">
          <w:rPr>
            <w:webHidden/>
          </w:rPr>
          <w:fldChar w:fldCharType="begin"/>
        </w:r>
        <w:r w:rsidR="00730686">
          <w:rPr>
            <w:webHidden/>
          </w:rPr>
          <w:instrText xml:space="preserve"> PAGEREF _Toc450895600 \h </w:instrText>
        </w:r>
        <w:r w:rsidR="00394D16">
          <w:rPr>
            <w:webHidden/>
          </w:rPr>
        </w:r>
        <w:r w:rsidR="00394D16">
          <w:rPr>
            <w:webHidden/>
          </w:rPr>
          <w:fldChar w:fldCharType="separate"/>
        </w:r>
        <w:r w:rsidR="00730686">
          <w:rPr>
            <w:webHidden/>
          </w:rPr>
          <w:t>12</w:t>
        </w:r>
        <w:r w:rsidR="00394D16">
          <w:rPr>
            <w:webHidden/>
          </w:rPr>
          <w:fldChar w:fldCharType="end"/>
        </w:r>
      </w:hyperlink>
    </w:p>
    <w:p w:rsidR="00730686" w:rsidRDefault="00D038EE">
      <w:pPr>
        <w:pStyle w:val="TOC1"/>
        <w:rPr>
          <w:rFonts w:asciiTheme="minorHAnsi" w:eastAsiaTheme="minorEastAsia" w:hAnsiTheme="minorHAnsi" w:cstheme="minorBidi"/>
          <w:b w:val="0"/>
          <w:color w:val="auto"/>
          <w:sz w:val="22"/>
          <w:szCs w:val="22"/>
        </w:rPr>
      </w:pPr>
      <w:hyperlink w:anchor="_Toc450895601" w:history="1">
        <w:r w:rsidR="00730686" w:rsidRPr="00EE6742">
          <w:rPr>
            <w:rStyle w:val="Hyperlink"/>
            <w:rFonts w:cs="Times New Roman"/>
          </w:rPr>
          <w:t>8</w:t>
        </w:r>
        <w:r w:rsidR="00730686">
          <w:rPr>
            <w:rFonts w:asciiTheme="minorHAnsi" w:eastAsiaTheme="minorEastAsia" w:hAnsiTheme="minorHAnsi" w:cstheme="minorBidi"/>
            <w:b w:val="0"/>
            <w:color w:val="auto"/>
            <w:sz w:val="22"/>
            <w:szCs w:val="22"/>
          </w:rPr>
          <w:tab/>
        </w:r>
        <w:r w:rsidR="00730686" w:rsidRPr="00EE6742">
          <w:rPr>
            <w:rStyle w:val="Hyperlink"/>
          </w:rPr>
          <w:t>Fault Management</w:t>
        </w:r>
        <w:r w:rsidR="00730686">
          <w:rPr>
            <w:webHidden/>
          </w:rPr>
          <w:tab/>
        </w:r>
        <w:r w:rsidR="00394D16">
          <w:rPr>
            <w:webHidden/>
          </w:rPr>
          <w:fldChar w:fldCharType="begin"/>
        </w:r>
        <w:r w:rsidR="00730686">
          <w:rPr>
            <w:webHidden/>
          </w:rPr>
          <w:instrText xml:space="preserve"> PAGEREF _Toc450895601 \h </w:instrText>
        </w:r>
        <w:r w:rsidR="00394D16">
          <w:rPr>
            <w:webHidden/>
          </w:rPr>
        </w:r>
        <w:r w:rsidR="00394D16">
          <w:rPr>
            <w:webHidden/>
          </w:rPr>
          <w:fldChar w:fldCharType="separate"/>
        </w:r>
        <w:r w:rsidR="00730686">
          <w:rPr>
            <w:webHidden/>
          </w:rPr>
          <w:t>13</w:t>
        </w:r>
        <w:r w:rsidR="00394D16">
          <w:rPr>
            <w:webHidden/>
          </w:rPr>
          <w:fldChar w:fldCharType="end"/>
        </w:r>
      </w:hyperlink>
    </w:p>
    <w:p w:rsidR="00730686" w:rsidRDefault="00D038EE">
      <w:pPr>
        <w:pStyle w:val="TOC1"/>
        <w:rPr>
          <w:rFonts w:asciiTheme="minorHAnsi" w:eastAsiaTheme="minorEastAsia" w:hAnsiTheme="minorHAnsi" w:cstheme="minorBidi"/>
          <w:b w:val="0"/>
          <w:color w:val="auto"/>
          <w:sz w:val="22"/>
          <w:szCs w:val="22"/>
        </w:rPr>
      </w:pPr>
      <w:hyperlink w:anchor="_Toc450895602" w:history="1">
        <w:r w:rsidR="00730686" w:rsidRPr="00EE6742">
          <w:rPr>
            <w:rStyle w:val="Hyperlink"/>
            <w:rFonts w:cs="Times New Roman"/>
          </w:rPr>
          <w:t>9</w:t>
        </w:r>
        <w:r w:rsidR="00730686">
          <w:rPr>
            <w:rFonts w:asciiTheme="minorHAnsi" w:eastAsiaTheme="minorEastAsia" w:hAnsiTheme="minorHAnsi" w:cstheme="minorBidi"/>
            <w:b w:val="0"/>
            <w:color w:val="auto"/>
            <w:sz w:val="22"/>
            <w:szCs w:val="22"/>
          </w:rPr>
          <w:tab/>
        </w:r>
        <w:r w:rsidR="00730686" w:rsidRPr="00EE6742">
          <w:rPr>
            <w:rStyle w:val="Hyperlink"/>
          </w:rPr>
          <w:t>Forecasts</w:t>
        </w:r>
        <w:r w:rsidR="00730686">
          <w:rPr>
            <w:webHidden/>
          </w:rPr>
          <w:tab/>
        </w:r>
        <w:r w:rsidR="00394D16">
          <w:rPr>
            <w:webHidden/>
          </w:rPr>
          <w:fldChar w:fldCharType="begin"/>
        </w:r>
        <w:r w:rsidR="00730686">
          <w:rPr>
            <w:webHidden/>
          </w:rPr>
          <w:instrText xml:space="preserve"> PAGEREF _Toc450895602 \h </w:instrText>
        </w:r>
        <w:r w:rsidR="00394D16">
          <w:rPr>
            <w:webHidden/>
          </w:rPr>
        </w:r>
        <w:r w:rsidR="00394D16">
          <w:rPr>
            <w:webHidden/>
          </w:rPr>
          <w:fldChar w:fldCharType="separate"/>
        </w:r>
        <w:r w:rsidR="00730686">
          <w:rPr>
            <w:webHidden/>
          </w:rPr>
          <w:t>14</w:t>
        </w:r>
        <w:r w:rsidR="00394D16">
          <w:rPr>
            <w:webHidden/>
          </w:rPr>
          <w:fldChar w:fldCharType="end"/>
        </w:r>
      </w:hyperlink>
    </w:p>
    <w:p w:rsidR="00925399" w:rsidRDefault="00394D16" w:rsidP="00517912">
      <w:pPr>
        <w:rPr>
          <w:bCs/>
          <w:color w:val="000000"/>
        </w:rPr>
      </w:pPr>
      <w:r>
        <w:rPr>
          <w:rFonts w:eastAsia="Times"/>
          <w:bCs/>
          <w:noProof/>
          <w:color w:val="333333"/>
          <w:szCs w:val="20"/>
        </w:rPr>
        <w:fldChar w:fldCharType="end"/>
      </w:r>
    </w:p>
    <w:p w:rsidR="00D56C06" w:rsidRPr="00F2549C" w:rsidDel="00D56C06" w:rsidRDefault="00517912" w:rsidP="00D56C06">
      <w:pPr>
        <w:rPr>
          <w:color w:val="4A93D1"/>
          <w:sz w:val="32"/>
          <w:szCs w:val="32"/>
          <w:u w:val="single"/>
        </w:rPr>
      </w:pPr>
      <w:r w:rsidRPr="00644619">
        <w:rPr>
          <w:color w:val="4A93D1"/>
          <w:sz w:val="32"/>
          <w:szCs w:val="32"/>
          <w:u w:val="single"/>
        </w:rPr>
        <w:t xml:space="preserve"> </w:t>
      </w:r>
    </w:p>
    <w:p w:rsidR="0029357C" w:rsidRDefault="0029357C" w:rsidP="00D56C06">
      <w:pPr>
        <w:rPr>
          <w:color w:val="000000"/>
        </w:rPr>
      </w:pP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761CEB">
      <w:pPr>
        <w:pStyle w:val="Heading1"/>
      </w:pPr>
      <w:bookmarkStart w:id="0" w:name="_Toc450895594"/>
      <w:r>
        <w:lastRenderedPageBreak/>
        <w:t>General</w:t>
      </w:r>
      <w:bookmarkEnd w:id="0"/>
      <w:r>
        <w:t xml:space="preserve"> </w:t>
      </w:r>
    </w:p>
    <w:p w:rsidR="00CF3E22" w:rsidRDefault="00EA310F" w:rsidP="00AF7DF4">
      <w:pPr>
        <w:pStyle w:val="ListParagraph"/>
      </w:pPr>
      <w:r w:rsidRPr="00035614">
        <w:t xml:space="preserve">This </w:t>
      </w:r>
      <w:r>
        <w:t xml:space="preserve">Sub Annex </w:t>
      </w:r>
      <w:r w:rsidRPr="00035614">
        <w:t xml:space="preserve">sets out the </w:t>
      </w:r>
      <w:r w:rsidR="00AF7DF4">
        <w:t xml:space="preserve">Mobile </w:t>
      </w:r>
      <w:r w:rsidR="00CF3E22" w:rsidRPr="00CF3E22">
        <w:t xml:space="preserve">Ancillary </w:t>
      </w:r>
      <w:r w:rsidR="00CF3E22">
        <w:t>Interconnect</w:t>
      </w:r>
      <w:r w:rsidR="00730686">
        <w:t>ion</w:t>
      </w:r>
      <w:r w:rsidR="00CF3E22">
        <w:t xml:space="preserve"> </w:t>
      </w:r>
      <w:r w:rsidR="005A5501">
        <w:t>Service</w:t>
      </w:r>
      <w:r w:rsidR="00CF3E22" w:rsidRPr="00CF3E22">
        <w:t>s</w:t>
      </w:r>
      <w:r w:rsidR="00144E8C">
        <w:t>.</w:t>
      </w:r>
    </w:p>
    <w:p w:rsidR="00CF3E22" w:rsidRDefault="00CF3E22" w:rsidP="006C0A21">
      <w:pPr>
        <w:pStyle w:val="ListParagraph"/>
      </w:pPr>
      <w:r>
        <w:t xml:space="preserve">The </w:t>
      </w:r>
      <w:r w:rsidR="00AF7DF4">
        <w:t xml:space="preserve">Mobile </w:t>
      </w:r>
      <w:r>
        <w:t xml:space="preserve">Ancillary Interconnect </w:t>
      </w:r>
      <w:r w:rsidR="005A5501">
        <w:t>Service</w:t>
      </w:r>
      <w:r>
        <w:t xml:space="preserve"> Sub Annex </w:t>
      </w:r>
      <w:r w:rsidR="001634D9">
        <w:t xml:space="preserve">is </w:t>
      </w:r>
      <w:r>
        <w:t>comprise</w:t>
      </w:r>
      <w:r w:rsidR="001634D9">
        <w:t>d</w:t>
      </w:r>
      <w:r>
        <w:t xml:space="preserve"> of the following </w:t>
      </w:r>
      <w:r w:rsidR="005A5501">
        <w:t>Service</w:t>
      </w:r>
      <w:r>
        <w:t>s</w:t>
      </w:r>
      <w:r w:rsidR="00513C67">
        <w:t xml:space="preserve"> which will allow </w:t>
      </w:r>
      <w:r w:rsidR="006C0A21">
        <w:t>the Requesting Party</w:t>
      </w:r>
      <w:r w:rsidR="00513C67">
        <w:t xml:space="preserve"> to Interconnect with Omantel Mobile Network</w:t>
      </w:r>
      <w:r>
        <w:t>:</w:t>
      </w:r>
    </w:p>
    <w:p w:rsidR="00CF3E22" w:rsidRDefault="00AF7DF4" w:rsidP="00AF7DF4">
      <w:pPr>
        <w:pStyle w:val="ListParagraph2"/>
      </w:pPr>
      <w:r>
        <w:t xml:space="preserve">Mobile </w:t>
      </w:r>
      <w:r w:rsidR="00CF3E22">
        <w:t>Point of Interconnect</w:t>
      </w:r>
      <w:r w:rsidR="00730686">
        <w:t>ion</w:t>
      </w:r>
      <w:r w:rsidR="00CF3E22">
        <w:t xml:space="preserve"> </w:t>
      </w:r>
      <w:r w:rsidR="005A5501">
        <w:t>Service</w:t>
      </w:r>
    </w:p>
    <w:p w:rsidR="002A187C" w:rsidRDefault="00AF7DF4" w:rsidP="00AF7DF4">
      <w:pPr>
        <w:pStyle w:val="ListParagraph2"/>
      </w:pPr>
      <w:r>
        <w:t xml:space="preserve">Mobile </w:t>
      </w:r>
      <w:r w:rsidR="002A187C" w:rsidRPr="002A187C">
        <w:t xml:space="preserve">Port Capacity </w:t>
      </w:r>
      <w:r w:rsidR="005A5501">
        <w:t>Service</w:t>
      </w:r>
    </w:p>
    <w:p w:rsidR="00365A18" w:rsidRPr="00A816F9" w:rsidRDefault="003E0D40" w:rsidP="001A3F64">
      <w:pPr>
        <w:pStyle w:val="ListParagraph2"/>
      </w:pPr>
      <w:r w:rsidRPr="00A816F9">
        <w:t xml:space="preserve">Basic Block and Expansion </w:t>
      </w:r>
      <w:r w:rsidR="00365A18" w:rsidRPr="00A816F9">
        <w:t>Co-location</w:t>
      </w:r>
    </w:p>
    <w:p w:rsidR="003E0D40" w:rsidRDefault="00AF7DF4" w:rsidP="001A3F64">
      <w:pPr>
        <w:pStyle w:val="ListParagraph2"/>
      </w:pPr>
      <w:r>
        <w:t>Number Ranges Implementation</w:t>
      </w:r>
    </w:p>
    <w:p w:rsidR="000D1689" w:rsidRDefault="000D1689" w:rsidP="000D1689">
      <w:pPr>
        <w:pStyle w:val="ListParagraph"/>
      </w:pPr>
      <w:r>
        <w:t xml:space="preserve">The Requesting Party shall request for appropriate connectivity requirements between Omantel POI and its equipment based on his location. The connectivity Services are charged separately as described in Sub Annex </w:t>
      </w:r>
      <w:r w:rsidRPr="00285B63">
        <w:t>Sub Annex C-FA 08</w:t>
      </w:r>
      <w:r>
        <w:t xml:space="preserve"> and/ or </w:t>
      </w:r>
      <w:r w:rsidRPr="00285B63">
        <w:t>Sub Annex C-FA 11</w:t>
      </w:r>
      <w:r w:rsidR="0013768D">
        <w:t>.</w:t>
      </w:r>
    </w:p>
    <w:p w:rsidR="00846C14" w:rsidRPr="00035614" w:rsidRDefault="00846C14" w:rsidP="0075553D">
      <w:pPr>
        <w:pStyle w:val="ListParagraph"/>
        <w:numPr>
          <w:ilvl w:val="0"/>
          <w:numId w:val="0"/>
        </w:numPr>
        <w:ind w:left="864"/>
      </w:pPr>
    </w:p>
    <w:p w:rsidR="0075553D" w:rsidRPr="0075553D" w:rsidRDefault="0075553D" w:rsidP="0075553D">
      <w:bookmarkStart w:id="1" w:name="_Ref423711614"/>
    </w:p>
    <w:p w:rsidR="00DB01B6" w:rsidRDefault="00DB01B6" w:rsidP="00761CEB">
      <w:pPr>
        <w:pStyle w:val="Heading1"/>
      </w:pPr>
      <w:bookmarkStart w:id="2" w:name="_Toc450895595"/>
      <w:r>
        <w:lastRenderedPageBreak/>
        <w:t>Definitions</w:t>
      </w:r>
      <w:bookmarkEnd w:id="2"/>
    </w:p>
    <w:p w:rsidR="00DB01B6" w:rsidRDefault="00DB01B6" w:rsidP="006C0A21">
      <w:pPr>
        <w:pStyle w:val="ListParagraph"/>
      </w:pPr>
      <w:r w:rsidRPr="004D186A">
        <w:t>The definitions in Annex L shall apply to this Sub</w:t>
      </w:r>
      <w:r>
        <w:t xml:space="preserve"> </w:t>
      </w:r>
      <w:r w:rsidR="006C0A21">
        <w:t>Annex.</w:t>
      </w:r>
      <w:r>
        <w:t xml:space="preserve"> </w:t>
      </w:r>
    </w:p>
    <w:p w:rsidR="00D039CD" w:rsidRDefault="00D039CD" w:rsidP="00A77981">
      <w:pPr>
        <w:pStyle w:val="Heading1"/>
      </w:pPr>
      <w:bookmarkStart w:id="3" w:name="_Toc450895596"/>
      <w:r>
        <w:lastRenderedPageBreak/>
        <w:t>Point of Interconnection</w:t>
      </w:r>
      <w:bookmarkEnd w:id="1"/>
      <w:bookmarkEnd w:id="3"/>
    </w:p>
    <w:p w:rsidR="005F32C6" w:rsidRDefault="005F32C6" w:rsidP="005F32C6">
      <w:pPr>
        <w:pStyle w:val="ListParagraph"/>
        <w:spacing w:before="120" w:after="120"/>
      </w:pPr>
      <w:r>
        <w:t>Omantel Mobile Gateway Switch.</w:t>
      </w:r>
    </w:p>
    <w:p w:rsidR="005F32C6" w:rsidRDefault="005F32C6" w:rsidP="005F32C6">
      <w:pPr>
        <w:pStyle w:val="ListParagraph2"/>
        <w:spacing w:before="120" w:after="120"/>
      </w:pPr>
      <w:r w:rsidRPr="006913BE">
        <w:t xml:space="preserve">Omantel </w:t>
      </w:r>
      <w:r w:rsidRPr="00176E2C">
        <w:t xml:space="preserve">offers the establishment of Points of Interconnection at each of the </w:t>
      </w:r>
      <w:r>
        <w:t>Mobile Gateway Switches set out in</w:t>
      </w:r>
      <w:r w:rsidRPr="00176E2C">
        <w:t xml:space="preserve"> </w:t>
      </w:r>
      <w:r w:rsidR="00394D16">
        <w:fldChar w:fldCharType="begin"/>
      </w:r>
      <w:r>
        <w:instrText xml:space="preserve"> REF _Ref424209269 \h </w:instrText>
      </w:r>
      <w:r w:rsidR="00394D16">
        <w:fldChar w:fldCharType="separate"/>
      </w:r>
      <w:r w:rsidR="00FE24A4" w:rsidRPr="0070363B">
        <w:t xml:space="preserve">Table </w:t>
      </w:r>
      <w:r w:rsidR="00FE24A4">
        <w:rPr>
          <w:noProof/>
          <w:cs/>
        </w:rPr>
        <w:t>‎</w:t>
      </w:r>
      <w:r w:rsidR="00FE24A4">
        <w:rPr>
          <w:noProof/>
        </w:rPr>
        <w:t>3</w:t>
      </w:r>
      <w:r w:rsidR="00FE24A4">
        <w:noBreakHyphen/>
      </w:r>
      <w:r w:rsidR="00FE24A4">
        <w:rPr>
          <w:noProof/>
        </w:rPr>
        <w:t>1</w:t>
      </w:r>
      <w:r w:rsidR="00394D16">
        <w:fldChar w:fldCharType="end"/>
      </w:r>
      <w:r>
        <w:t xml:space="preserve"> </w:t>
      </w:r>
      <w:r w:rsidRPr="00176E2C">
        <w:t>below</w:t>
      </w:r>
      <w:r w:rsidR="00513C67">
        <w:t xml:space="preserve"> for the purpose if interconnection with its Mobile Network</w:t>
      </w:r>
      <w:r>
        <w:t xml:space="preserve">. The Interconnection would be considered as complete once </w:t>
      </w:r>
      <w:r w:rsidR="006C0A21">
        <w:t>the Requesting Party</w:t>
      </w:r>
      <w:r>
        <w:t xml:space="preserve"> is connected to both POIs</w:t>
      </w:r>
      <w:r w:rsidRPr="00176E2C">
        <w:t>.</w:t>
      </w:r>
    </w:p>
    <w:tbl>
      <w:tblPr>
        <w:tblStyle w:val="TableGridLight1"/>
        <w:tblW w:w="8740" w:type="dxa"/>
        <w:tblInd w:w="885" w:type="dxa"/>
        <w:tblLayout w:type="fixed"/>
        <w:tblLook w:val="04A0" w:firstRow="1" w:lastRow="0" w:firstColumn="1" w:lastColumn="0" w:noHBand="0" w:noVBand="1"/>
      </w:tblPr>
      <w:tblGrid>
        <w:gridCol w:w="640"/>
        <w:gridCol w:w="1350"/>
        <w:gridCol w:w="1260"/>
        <w:gridCol w:w="1620"/>
        <w:gridCol w:w="1800"/>
        <w:gridCol w:w="2070"/>
      </w:tblGrid>
      <w:tr w:rsidR="005F32C6" w:rsidRPr="00B203B8" w:rsidTr="006D53D8">
        <w:trPr>
          <w:trHeight w:val="571"/>
          <w:tblHeader/>
        </w:trPr>
        <w:tc>
          <w:tcPr>
            <w:tcW w:w="640" w:type="dxa"/>
            <w:shd w:val="clear" w:color="auto" w:fill="4A93D1"/>
            <w:vAlign w:val="center"/>
          </w:tcPr>
          <w:p w:rsidR="005F32C6" w:rsidRPr="004E2EBA" w:rsidRDefault="005F32C6" w:rsidP="006D53D8">
            <w:pPr>
              <w:pStyle w:val="Table"/>
              <w:rPr>
                <w:b/>
                <w:bCs/>
                <w:color w:val="FFFFFF" w:themeColor="background1"/>
                <w:sz w:val="20"/>
                <w:szCs w:val="20"/>
              </w:rPr>
            </w:pPr>
            <w:r w:rsidRPr="004E2EBA">
              <w:rPr>
                <w:b/>
                <w:bCs/>
                <w:color w:val="FFFFFF" w:themeColor="background1"/>
                <w:sz w:val="20"/>
                <w:szCs w:val="20"/>
              </w:rPr>
              <w:t>No.</w:t>
            </w:r>
          </w:p>
        </w:tc>
        <w:tc>
          <w:tcPr>
            <w:tcW w:w="1350" w:type="dxa"/>
            <w:shd w:val="clear" w:color="auto" w:fill="4A93D1"/>
            <w:vAlign w:val="center"/>
          </w:tcPr>
          <w:p w:rsidR="005F32C6" w:rsidRPr="004E2EBA" w:rsidRDefault="005F32C6" w:rsidP="006D53D8">
            <w:pPr>
              <w:pStyle w:val="Table"/>
              <w:rPr>
                <w:b/>
                <w:bCs/>
                <w:color w:val="FFFFFF" w:themeColor="background1"/>
                <w:sz w:val="20"/>
                <w:szCs w:val="20"/>
              </w:rPr>
            </w:pPr>
            <w:r w:rsidRPr="004E2EBA">
              <w:rPr>
                <w:b/>
                <w:bCs/>
                <w:color w:val="FFFFFF" w:themeColor="background1"/>
                <w:sz w:val="20"/>
                <w:szCs w:val="20"/>
              </w:rPr>
              <w:t>Location</w:t>
            </w:r>
          </w:p>
        </w:tc>
        <w:tc>
          <w:tcPr>
            <w:tcW w:w="1260" w:type="dxa"/>
            <w:shd w:val="clear" w:color="auto" w:fill="4A93D1"/>
            <w:vAlign w:val="center"/>
          </w:tcPr>
          <w:p w:rsidR="005F32C6" w:rsidRPr="004E2EBA" w:rsidRDefault="005F32C6" w:rsidP="006D53D8">
            <w:pPr>
              <w:pStyle w:val="Table"/>
              <w:rPr>
                <w:b/>
                <w:bCs/>
                <w:color w:val="FFFFFF" w:themeColor="background1"/>
                <w:sz w:val="20"/>
                <w:szCs w:val="20"/>
              </w:rPr>
            </w:pPr>
            <w:r w:rsidRPr="004E2EBA">
              <w:rPr>
                <w:b/>
                <w:bCs/>
                <w:color w:val="FFFFFF" w:themeColor="background1"/>
                <w:sz w:val="20"/>
                <w:szCs w:val="20"/>
              </w:rPr>
              <w:t>Type</w:t>
            </w:r>
          </w:p>
        </w:tc>
        <w:tc>
          <w:tcPr>
            <w:tcW w:w="1620" w:type="dxa"/>
            <w:shd w:val="clear" w:color="auto" w:fill="4A93D1"/>
            <w:vAlign w:val="center"/>
          </w:tcPr>
          <w:p w:rsidR="005F32C6" w:rsidRPr="004E2EBA" w:rsidRDefault="005F32C6" w:rsidP="006D53D8">
            <w:pPr>
              <w:pStyle w:val="Table"/>
              <w:rPr>
                <w:b/>
                <w:bCs/>
                <w:color w:val="FFFFFF" w:themeColor="background1"/>
                <w:sz w:val="20"/>
                <w:szCs w:val="20"/>
              </w:rPr>
            </w:pPr>
            <w:r w:rsidRPr="004E2EBA">
              <w:rPr>
                <w:b/>
                <w:bCs/>
                <w:color w:val="FFFFFF" w:themeColor="background1"/>
                <w:sz w:val="20"/>
                <w:szCs w:val="20"/>
              </w:rPr>
              <w:t>Code</w:t>
            </w:r>
          </w:p>
        </w:tc>
        <w:tc>
          <w:tcPr>
            <w:tcW w:w="1800" w:type="dxa"/>
            <w:shd w:val="clear" w:color="auto" w:fill="4A93D1"/>
            <w:vAlign w:val="center"/>
          </w:tcPr>
          <w:p w:rsidR="005F32C6" w:rsidRPr="004E2EBA" w:rsidRDefault="005F32C6" w:rsidP="006D53D8">
            <w:pPr>
              <w:pStyle w:val="Table"/>
              <w:rPr>
                <w:b/>
                <w:bCs/>
                <w:color w:val="FFFFFF" w:themeColor="background1"/>
                <w:sz w:val="20"/>
                <w:szCs w:val="20"/>
              </w:rPr>
            </w:pPr>
            <w:r w:rsidRPr="004E2EBA">
              <w:rPr>
                <w:b/>
                <w:bCs/>
                <w:color w:val="FFFFFF" w:themeColor="background1"/>
                <w:sz w:val="20"/>
                <w:szCs w:val="20"/>
              </w:rPr>
              <w:t>National Point Code</w:t>
            </w:r>
          </w:p>
        </w:tc>
        <w:tc>
          <w:tcPr>
            <w:tcW w:w="2070" w:type="dxa"/>
            <w:shd w:val="clear" w:color="auto" w:fill="4A93D1"/>
          </w:tcPr>
          <w:p w:rsidR="005F32C6" w:rsidRPr="004E2EBA" w:rsidRDefault="005F32C6" w:rsidP="006D53D8">
            <w:pPr>
              <w:pStyle w:val="Table"/>
              <w:rPr>
                <w:b/>
                <w:bCs/>
                <w:color w:val="FFFFFF" w:themeColor="background1"/>
                <w:sz w:val="20"/>
                <w:szCs w:val="20"/>
              </w:rPr>
            </w:pPr>
            <w:r w:rsidRPr="004E2EBA">
              <w:rPr>
                <w:b/>
                <w:bCs/>
                <w:color w:val="FFFFFF" w:themeColor="background1"/>
                <w:sz w:val="20"/>
                <w:szCs w:val="20"/>
              </w:rPr>
              <w:t>Common Point Code</w:t>
            </w:r>
          </w:p>
        </w:tc>
      </w:tr>
      <w:tr w:rsidR="005F32C6" w:rsidRPr="005B21A8" w:rsidTr="006D53D8">
        <w:trPr>
          <w:trHeight w:val="535"/>
        </w:trPr>
        <w:tc>
          <w:tcPr>
            <w:tcW w:w="640" w:type="dxa"/>
            <w:vAlign w:val="center"/>
          </w:tcPr>
          <w:p w:rsidR="005F32C6" w:rsidRPr="006F1916" w:rsidRDefault="005F32C6" w:rsidP="006D53D8">
            <w:pPr>
              <w:pStyle w:val="Table"/>
              <w:rPr>
                <w:sz w:val="22"/>
              </w:rPr>
            </w:pPr>
            <w:r w:rsidRPr="006F1916">
              <w:rPr>
                <w:sz w:val="22"/>
              </w:rPr>
              <w:t>1</w:t>
            </w:r>
          </w:p>
        </w:tc>
        <w:tc>
          <w:tcPr>
            <w:tcW w:w="1350" w:type="dxa"/>
            <w:vAlign w:val="center"/>
          </w:tcPr>
          <w:p w:rsidR="005F32C6" w:rsidRPr="006F1916" w:rsidRDefault="005F32C6" w:rsidP="006D53D8">
            <w:pPr>
              <w:pStyle w:val="Table"/>
              <w:rPr>
                <w:sz w:val="22"/>
              </w:rPr>
            </w:pPr>
            <w:proofErr w:type="spellStart"/>
            <w:r w:rsidRPr="006F1916">
              <w:rPr>
                <w:sz w:val="22"/>
              </w:rPr>
              <w:t>Uzaiba</w:t>
            </w:r>
            <w:proofErr w:type="spellEnd"/>
          </w:p>
        </w:tc>
        <w:tc>
          <w:tcPr>
            <w:tcW w:w="1260" w:type="dxa"/>
            <w:vAlign w:val="center"/>
          </w:tcPr>
          <w:p w:rsidR="005F32C6" w:rsidRPr="006F1916" w:rsidRDefault="005F32C6" w:rsidP="006D53D8">
            <w:pPr>
              <w:pStyle w:val="Table"/>
              <w:rPr>
                <w:sz w:val="22"/>
              </w:rPr>
            </w:pPr>
            <w:r w:rsidRPr="006F1916">
              <w:rPr>
                <w:sz w:val="22"/>
              </w:rPr>
              <w:t>Huawei</w:t>
            </w:r>
          </w:p>
        </w:tc>
        <w:tc>
          <w:tcPr>
            <w:tcW w:w="1620" w:type="dxa"/>
            <w:vAlign w:val="center"/>
          </w:tcPr>
          <w:p w:rsidR="005F32C6" w:rsidRPr="006F1916" w:rsidRDefault="005F32C6" w:rsidP="006D53D8">
            <w:pPr>
              <w:pStyle w:val="Table"/>
              <w:rPr>
                <w:sz w:val="22"/>
              </w:rPr>
            </w:pPr>
            <w:r w:rsidRPr="006F1916">
              <w:rPr>
                <w:sz w:val="22"/>
              </w:rPr>
              <w:t>MGW-04</w:t>
            </w:r>
          </w:p>
        </w:tc>
        <w:tc>
          <w:tcPr>
            <w:tcW w:w="1800" w:type="dxa"/>
            <w:vAlign w:val="center"/>
          </w:tcPr>
          <w:p w:rsidR="005F32C6" w:rsidRPr="006F1916" w:rsidRDefault="005F32C6" w:rsidP="006D53D8">
            <w:pPr>
              <w:pStyle w:val="Table"/>
              <w:rPr>
                <w:sz w:val="22"/>
              </w:rPr>
            </w:pPr>
            <w:r w:rsidRPr="006F1916">
              <w:rPr>
                <w:sz w:val="22"/>
              </w:rPr>
              <w:t>2-1110</w:t>
            </w:r>
          </w:p>
        </w:tc>
        <w:tc>
          <w:tcPr>
            <w:tcW w:w="2070" w:type="dxa"/>
            <w:vAlign w:val="center"/>
          </w:tcPr>
          <w:p w:rsidR="005F32C6" w:rsidRPr="006F1916" w:rsidRDefault="005F32C6" w:rsidP="006D53D8">
            <w:pPr>
              <w:pStyle w:val="Table"/>
              <w:rPr>
                <w:sz w:val="22"/>
              </w:rPr>
            </w:pPr>
            <w:r w:rsidRPr="006F1916">
              <w:rPr>
                <w:sz w:val="22"/>
              </w:rPr>
              <w:t>2-1112</w:t>
            </w:r>
          </w:p>
        </w:tc>
      </w:tr>
      <w:tr w:rsidR="005F32C6" w:rsidRPr="005B21A8" w:rsidTr="006D53D8">
        <w:trPr>
          <w:trHeight w:val="535"/>
        </w:trPr>
        <w:tc>
          <w:tcPr>
            <w:tcW w:w="640" w:type="dxa"/>
            <w:vAlign w:val="center"/>
          </w:tcPr>
          <w:p w:rsidR="005F32C6" w:rsidRPr="006F1916" w:rsidRDefault="005F32C6" w:rsidP="006D53D8">
            <w:pPr>
              <w:pStyle w:val="Table"/>
              <w:rPr>
                <w:sz w:val="22"/>
              </w:rPr>
            </w:pPr>
            <w:r w:rsidRPr="006F1916">
              <w:rPr>
                <w:sz w:val="22"/>
              </w:rPr>
              <w:t>2</w:t>
            </w:r>
          </w:p>
        </w:tc>
        <w:tc>
          <w:tcPr>
            <w:tcW w:w="1350" w:type="dxa"/>
            <w:vAlign w:val="center"/>
          </w:tcPr>
          <w:p w:rsidR="005F32C6" w:rsidRPr="006F1916" w:rsidRDefault="005F32C6" w:rsidP="006D53D8">
            <w:pPr>
              <w:pStyle w:val="Table"/>
              <w:rPr>
                <w:sz w:val="22"/>
              </w:rPr>
            </w:pPr>
            <w:r w:rsidRPr="006F1916">
              <w:rPr>
                <w:sz w:val="22"/>
              </w:rPr>
              <w:t>Nizwa</w:t>
            </w:r>
          </w:p>
        </w:tc>
        <w:tc>
          <w:tcPr>
            <w:tcW w:w="1260" w:type="dxa"/>
            <w:vAlign w:val="center"/>
          </w:tcPr>
          <w:p w:rsidR="005F32C6" w:rsidRPr="006F1916" w:rsidRDefault="005F32C6" w:rsidP="006D53D8">
            <w:pPr>
              <w:pStyle w:val="Table"/>
              <w:rPr>
                <w:sz w:val="22"/>
              </w:rPr>
            </w:pPr>
            <w:r w:rsidRPr="006F1916">
              <w:rPr>
                <w:sz w:val="22"/>
              </w:rPr>
              <w:t>Huawei</w:t>
            </w:r>
          </w:p>
        </w:tc>
        <w:tc>
          <w:tcPr>
            <w:tcW w:w="1620" w:type="dxa"/>
            <w:vAlign w:val="center"/>
          </w:tcPr>
          <w:p w:rsidR="005F32C6" w:rsidRPr="006F1916" w:rsidRDefault="005F32C6" w:rsidP="006D53D8">
            <w:pPr>
              <w:pStyle w:val="Table"/>
              <w:rPr>
                <w:sz w:val="22"/>
              </w:rPr>
            </w:pPr>
            <w:r w:rsidRPr="006F1916">
              <w:rPr>
                <w:sz w:val="22"/>
              </w:rPr>
              <w:t>MGW-06</w:t>
            </w:r>
          </w:p>
        </w:tc>
        <w:tc>
          <w:tcPr>
            <w:tcW w:w="1800" w:type="dxa"/>
            <w:vAlign w:val="center"/>
          </w:tcPr>
          <w:p w:rsidR="005F32C6" w:rsidRPr="006F1916" w:rsidRDefault="005F32C6" w:rsidP="006D53D8">
            <w:pPr>
              <w:pStyle w:val="Table"/>
              <w:rPr>
                <w:sz w:val="22"/>
              </w:rPr>
            </w:pPr>
            <w:r w:rsidRPr="006F1916">
              <w:rPr>
                <w:sz w:val="22"/>
              </w:rPr>
              <w:t>2-2593</w:t>
            </w:r>
          </w:p>
        </w:tc>
        <w:tc>
          <w:tcPr>
            <w:tcW w:w="2070" w:type="dxa"/>
            <w:vAlign w:val="center"/>
          </w:tcPr>
          <w:p w:rsidR="005F32C6" w:rsidRPr="006F1916" w:rsidRDefault="005F32C6" w:rsidP="006D53D8">
            <w:pPr>
              <w:pStyle w:val="Table"/>
              <w:rPr>
                <w:sz w:val="22"/>
              </w:rPr>
            </w:pPr>
            <w:r w:rsidRPr="006F1916">
              <w:rPr>
                <w:sz w:val="22"/>
              </w:rPr>
              <w:t>2-1112</w:t>
            </w:r>
          </w:p>
        </w:tc>
      </w:tr>
    </w:tbl>
    <w:p w:rsidR="005F32C6" w:rsidRDefault="005F32C6" w:rsidP="005F32C6">
      <w:pPr>
        <w:pStyle w:val="Caption"/>
      </w:pPr>
      <w:bookmarkStart w:id="4" w:name="_Ref424209269"/>
      <w:bookmarkStart w:id="5" w:name="_Ref424209246"/>
      <w:bookmarkStart w:id="6" w:name="_Toc450895603"/>
      <w:r w:rsidRPr="0070363B">
        <w:t xml:space="preserve">Table </w:t>
      </w:r>
      <w:r w:rsidR="00394D16">
        <w:fldChar w:fldCharType="begin"/>
      </w:r>
      <w:r w:rsidR="001314F8">
        <w:instrText xml:space="preserve"> STYLEREF 1 \s </w:instrText>
      </w:r>
      <w:r w:rsidR="00394D16">
        <w:fldChar w:fldCharType="separate"/>
      </w:r>
      <w:r>
        <w:rPr>
          <w:noProof/>
          <w:cs/>
        </w:rPr>
        <w:t>‎</w:t>
      </w:r>
      <w:r>
        <w:rPr>
          <w:noProof/>
        </w:rPr>
        <w:t>3</w:t>
      </w:r>
      <w:r w:rsidR="00394D16">
        <w:rPr>
          <w:noProof/>
        </w:rPr>
        <w:fldChar w:fldCharType="end"/>
      </w:r>
      <w:r>
        <w:noBreakHyphen/>
      </w:r>
      <w:r w:rsidR="00394D16">
        <w:fldChar w:fldCharType="begin"/>
      </w:r>
      <w:r w:rsidR="001314F8">
        <w:instrText xml:space="preserve"> SEQ Table \* ARABIC \s 1 </w:instrText>
      </w:r>
      <w:r w:rsidR="00394D16">
        <w:fldChar w:fldCharType="separate"/>
      </w:r>
      <w:r>
        <w:rPr>
          <w:noProof/>
        </w:rPr>
        <w:t>1</w:t>
      </w:r>
      <w:r w:rsidR="00394D16">
        <w:rPr>
          <w:noProof/>
        </w:rPr>
        <w:fldChar w:fldCharType="end"/>
      </w:r>
      <w:bookmarkEnd w:id="4"/>
      <w:r w:rsidRPr="003311EF">
        <w:t xml:space="preserve">: </w:t>
      </w:r>
      <w:r>
        <w:t>Interconnection Switches</w:t>
      </w:r>
      <w:bookmarkEnd w:id="5"/>
      <w:bookmarkEnd w:id="6"/>
    </w:p>
    <w:p w:rsidR="005F32C6" w:rsidRPr="008740EE" w:rsidRDefault="005F32C6" w:rsidP="005F32C6">
      <w:pPr>
        <w:pStyle w:val="ListParagraph"/>
        <w:spacing w:before="120" w:after="120"/>
      </w:pPr>
      <w:r w:rsidRPr="008740EE">
        <w:t>Signaling</w:t>
      </w:r>
    </w:p>
    <w:p w:rsidR="005F32C6" w:rsidRDefault="005F32C6" w:rsidP="005F32C6">
      <w:pPr>
        <w:pStyle w:val="ListParagraph2"/>
        <w:numPr>
          <w:ilvl w:val="2"/>
          <w:numId w:val="13"/>
        </w:numPr>
        <w:spacing w:before="120" w:after="120"/>
      </w:pPr>
      <w:r>
        <w:t xml:space="preserve">The Parties shall use the signaling protocol </w:t>
      </w:r>
      <w:r w:rsidR="00730686">
        <w:t>signaling</w:t>
      </w:r>
      <w:r>
        <w:t xml:space="preserve"> System No.7 for the purposes of interconnection between their </w:t>
      </w:r>
      <w:r w:rsidR="001634D9">
        <w:t>N</w:t>
      </w:r>
      <w:r>
        <w:t>etworks, in accordance with relevant ITU-T and ETSI standards and recommendations. Omantel Mobile signaling system is based on ITU-T White Book and ETSI Version2.</w:t>
      </w:r>
    </w:p>
    <w:p w:rsidR="005F32C6" w:rsidRPr="006D3D1B" w:rsidRDefault="005F32C6" w:rsidP="00D27C76">
      <w:pPr>
        <w:pStyle w:val="ListParagraph2"/>
        <w:spacing w:before="120" w:after="120"/>
      </w:pPr>
      <w:r w:rsidRPr="006D3D1B">
        <w:t xml:space="preserve">Omantel will provide signaling interconnection by the use of Signaling Transfer Points (STP) at </w:t>
      </w:r>
      <w:r>
        <w:t xml:space="preserve">the </w:t>
      </w:r>
      <w:r w:rsidRPr="006D3D1B">
        <w:t xml:space="preserve">locations in </w:t>
      </w:r>
      <w:r w:rsidR="00394D16">
        <w:fldChar w:fldCharType="begin"/>
      </w:r>
      <w:r w:rsidR="00D27C76">
        <w:instrText xml:space="preserve"> REF _Ref424212647 \h </w:instrText>
      </w:r>
      <w:r w:rsidR="00394D16">
        <w:fldChar w:fldCharType="separate"/>
      </w:r>
      <w:r w:rsidR="00FE24A4" w:rsidRPr="0070363B">
        <w:t xml:space="preserve">Table </w:t>
      </w:r>
      <w:r w:rsidR="00FE24A4">
        <w:rPr>
          <w:noProof/>
          <w:cs/>
        </w:rPr>
        <w:t>‎</w:t>
      </w:r>
      <w:r w:rsidR="00FE24A4">
        <w:rPr>
          <w:noProof/>
        </w:rPr>
        <w:t>3</w:t>
      </w:r>
      <w:r w:rsidR="00FE24A4">
        <w:noBreakHyphen/>
      </w:r>
      <w:r w:rsidR="00FE24A4">
        <w:rPr>
          <w:noProof/>
        </w:rPr>
        <w:t>2</w:t>
      </w:r>
      <w:r w:rsidR="00394D16">
        <w:fldChar w:fldCharType="end"/>
      </w:r>
      <w:r w:rsidRPr="006D3D1B">
        <w:t xml:space="preserve"> below:</w:t>
      </w:r>
    </w:p>
    <w:tbl>
      <w:tblPr>
        <w:tblStyle w:val="TableGridLight1"/>
        <w:tblW w:w="8740" w:type="dxa"/>
        <w:tblInd w:w="885" w:type="dxa"/>
        <w:tblLayout w:type="fixed"/>
        <w:tblLook w:val="04A0" w:firstRow="1" w:lastRow="0" w:firstColumn="1" w:lastColumn="0" w:noHBand="0" w:noVBand="1"/>
      </w:tblPr>
      <w:tblGrid>
        <w:gridCol w:w="640"/>
        <w:gridCol w:w="8100"/>
      </w:tblGrid>
      <w:tr w:rsidR="005F32C6" w:rsidRPr="00B203B8" w:rsidTr="006D53D8">
        <w:trPr>
          <w:trHeight w:val="571"/>
          <w:tblHeader/>
        </w:trPr>
        <w:tc>
          <w:tcPr>
            <w:tcW w:w="640" w:type="dxa"/>
            <w:shd w:val="clear" w:color="auto" w:fill="4A93D1"/>
            <w:vAlign w:val="center"/>
          </w:tcPr>
          <w:p w:rsidR="005F32C6" w:rsidRPr="004E2EBA" w:rsidRDefault="005F32C6" w:rsidP="006D53D8">
            <w:pPr>
              <w:pStyle w:val="Table"/>
              <w:rPr>
                <w:b/>
                <w:bCs/>
                <w:color w:val="FFFFFF" w:themeColor="background1"/>
                <w:sz w:val="20"/>
                <w:szCs w:val="20"/>
              </w:rPr>
            </w:pPr>
            <w:r w:rsidRPr="004E2EBA">
              <w:rPr>
                <w:b/>
                <w:bCs/>
                <w:color w:val="FFFFFF" w:themeColor="background1"/>
                <w:sz w:val="20"/>
                <w:szCs w:val="20"/>
              </w:rPr>
              <w:t>No.</w:t>
            </w:r>
          </w:p>
        </w:tc>
        <w:tc>
          <w:tcPr>
            <w:tcW w:w="8100" w:type="dxa"/>
            <w:shd w:val="clear" w:color="auto" w:fill="4A93D1"/>
            <w:vAlign w:val="center"/>
          </w:tcPr>
          <w:p w:rsidR="005F32C6" w:rsidRPr="004E2EBA" w:rsidRDefault="005F32C6" w:rsidP="006D53D8">
            <w:pPr>
              <w:pStyle w:val="Table"/>
              <w:jc w:val="left"/>
              <w:rPr>
                <w:b/>
                <w:bCs/>
                <w:color w:val="FFFFFF" w:themeColor="background1"/>
                <w:sz w:val="20"/>
                <w:szCs w:val="20"/>
              </w:rPr>
            </w:pPr>
            <w:r>
              <w:rPr>
                <w:b/>
                <w:bCs/>
                <w:color w:val="FFFFFF" w:themeColor="background1"/>
                <w:sz w:val="20"/>
                <w:szCs w:val="20"/>
              </w:rPr>
              <w:t>Interconnection STPs (Mobile)</w:t>
            </w:r>
          </w:p>
        </w:tc>
      </w:tr>
      <w:tr w:rsidR="005F32C6" w:rsidRPr="005B21A8" w:rsidTr="006D53D8">
        <w:trPr>
          <w:trHeight w:val="535"/>
        </w:trPr>
        <w:tc>
          <w:tcPr>
            <w:tcW w:w="640" w:type="dxa"/>
            <w:vAlign w:val="center"/>
          </w:tcPr>
          <w:p w:rsidR="005F32C6" w:rsidRPr="006F1916" w:rsidRDefault="005F32C6" w:rsidP="006D53D8">
            <w:pPr>
              <w:pStyle w:val="Table"/>
              <w:rPr>
                <w:sz w:val="22"/>
              </w:rPr>
            </w:pPr>
            <w:r w:rsidRPr="006F1916">
              <w:rPr>
                <w:sz w:val="22"/>
              </w:rPr>
              <w:t>1</w:t>
            </w:r>
          </w:p>
        </w:tc>
        <w:tc>
          <w:tcPr>
            <w:tcW w:w="8100" w:type="dxa"/>
            <w:vAlign w:val="center"/>
          </w:tcPr>
          <w:p w:rsidR="005F32C6" w:rsidRPr="006F1916" w:rsidRDefault="005F32C6" w:rsidP="006D53D8">
            <w:pPr>
              <w:pStyle w:val="Table"/>
              <w:rPr>
                <w:sz w:val="22"/>
              </w:rPr>
            </w:pPr>
            <w:r>
              <w:rPr>
                <w:sz w:val="22"/>
              </w:rPr>
              <w:t>STP1 (Ghala)</w:t>
            </w:r>
          </w:p>
        </w:tc>
      </w:tr>
      <w:tr w:rsidR="005F32C6" w:rsidRPr="005B21A8" w:rsidTr="006D53D8">
        <w:trPr>
          <w:trHeight w:val="535"/>
        </w:trPr>
        <w:tc>
          <w:tcPr>
            <w:tcW w:w="640" w:type="dxa"/>
            <w:vAlign w:val="center"/>
          </w:tcPr>
          <w:p w:rsidR="005F32C6" w:rsidRPr="006F1916" w:rsidRDefault="005F32C6" w:rsidP="006D53D8">
            <w:pPr>
              <w:pStyle w:val="Table"/>
              <w:rPr>
                <w:sz w:val="22"/>
              </w:rPr>
            </w:pPr>
            <w:r w:rsidRPr="006F1916">
              <w:rPr>
                <w:sz w:val="22"/>
              </w:rPr>
              <w:t>2</w:t>
            </w:r>
          </w:p>
        </w:tc>
        <w:tc>
          <w:tcPr>
            <w:tcW w:w="8100" w:type="dxa"/>
            <w:vAlign w:val="center"/>
          </w:tcPr>
          <w:p w:rsidR="005F32C6" w:rsidRPr="006F1916" w:rsidRDefault="00FD1619" w:rsidP="006D53D8">
            <w:pPr>
              <w:pStyle w:val="Table"/>
              <w:rPr>
                <w:sz w:val="22"/>
              </w:rPr>
            </w:pPr>
            <w:r>
              <w:rPr>
                <w:sz w:val="22"/>
              </w:rPr>
              <w:t>STP2 (Qurum)</w:t>
            </w:r>
          </w:p>
        </w:tc>
      </w:tr>
    </w:tbl>
    <w:p w:rsidR="005F32C6" w:rsidRPr="006F1916" w:rsidRDefault="005F32C6" w:rsidP="005F32C6">
      <w:pPr>
        <w:pStyle w:val="Caption"/>
      </w:pPr>
      <w:bookmarkStart w:id="7" w:name="_Ref424212647"/>
      <w:bookmarkStart w:id="8" w:name="_Toc419125684"/>
      <w:bookmarkStart w:id="9" w:name="_Toc450895604"/>
      <w:r w:rsidRPr="0070363B">
        <w:t xml:space="preserve">Table </w:t>
      </w:r>
      <w:r w:rsidR="00394D16">
        <w:fldChar w:fldCharType="begin"/>
      </w:r>
      <w:r w:rsidR="001314F8">
        <w:instrText xml:space="preserve"> STYLEREF 1 \s </w:instrText>
      </w:r>
      <w:r w:rsidR="00394D16">
        <w:fldChar w:fldCharType="separate"/>
      </w:r>
      <w:r w:rsidR="00D27C76">
        <w:rPr>
          <w:noProof/>
          <w:cs/>
        </w:rPr>
        <w:t>‎</w:t>
      </w:r>
      <w:r w:rsidR="00D27C76">
        <w:rPr>
          <w:noProof/>
        </w:rPr>
        <w:t>3</w:t>
      </w:r>
      <w:r w:rsidR="00394D16">
        <w:rPr>
          <w:noProof/>
        </w:rPr>
        <w:fldChar w:fldCharType="end"/>
      </w:r>
      <w:r>
        <w:noBreakHyphen/>
      </w:r>
      <w:r w:rsidR="00394D16">
        <w:fldChar w:fldCharType="begin"/>
      </w:r>
      <w:r w:rsidR="001314F8">
        <w:instrText xml:space="preserve"> SEQ Table \* ARABIC \s 1 </w:instrText>
      </w:r>
      <w:r w:rsidR="00394D16">
        <w:fldChar w:fldCharType="separate"/>
      </w:r>
      <w:r w:rsidR="00D27C76">
        <w:rPr>
          <w:noProof/>
        </w:rPr>
        <w:t>2</w:t>
      </w:r>
      <w:r w:rsidR="00394D16">
        <w:rPr>
          <w:noProof/>
        </w:rPr>
        <w:fldChar w:fldCharType="end"/>
      </w:r>
      <w:bookmarkEnd w:id="7"/>
      <w:r>
        <w:t>: Signaling Transfer Points (STPs)</w:t>
      </w:r>
      <w:bookmarkEnd w:id="8"/>
      <w:bookmarkEnd w:id="9"/>
      <w:r>
        <w:t xml:space="preserve">  </w:t>
      </w:r>
    </w:p>
    <w:p w:rsidR="005F32C6" w:rsidRPr="00500333" w:rsidRDefault="005F32C6" w:rsidP="001634D9">
      <w:pPr>
        <w:pStyle w:val="ListParagraph2"/>
      </w:pPr>
      <w:r w:rsidRPr="00500333">
        <w:t>In case Omantel ha</w:t>
      </w:r>
      <w:r w:rsidR="001634D9">
        <w:t>s</w:t>
      </w:r>
      <w:r w:rsidRPr="00500333">
        <w:t xml:space="preserve"> to change the location of the STPs, Omantel will inform </w:t>
      </w:r>
      <w:r w:rsidR="006C0A21">
        <w:t>the Requesting Party</w:t>
      </w:r>
      <w:r w:rsidRPr="00500333">
        <w:t xml:space="preserve"> of the new locations and attempt</w:t>
      </w:r>
      <w:r w:rsidR="001634D9">
        <w:t xml:space="preserve"> on</w:t>
      </w:r>
      <w:r w:rsidRPr="00500333">
        <w:t xml:space="preserve"> best effort</w:t>
      </w:r>
      <w:r w:rsidR="001634D9">
        <w:t>s</w:t>
      </w:r>
      <w:r w:rsidRPr="00500333">
        <w:t xml:space="preserve"> </w:t>
      </w:r>
      <w:r w:rsidR="001634D9">
        <w:t xml:space="preserve">to </w:t>
      </w:r>
      <w:r w:rsidRPr="00500333">
        <w:t xml:space="preserve">transfer the links without impacting the </w:t>
      </w:r>
      <w:r w:rsidR="005A5501">
        <w:t>Service</w:t>
      </w:r>
      <w:r w:rsidRPr="00500333">
        <w:t xml:space="preserve"> quality.</w:t>
      </w:r>
      <w:r w:rsidR="00500333" w:rsidRPr="00500333">
        <w:t xml:space="preserve"> The connectivity charges shall be </w:t>
      </w:r>
      <w:r w:rsidR="001634D9" w:rsidRPr="00500333">
        <w:t>b</w:t>
      </w:r>
      <w:r w:rsidR="001634D9">
        <w:t>orne</w:t>
      </w:r>
      <w:r w:rsidR="001634D9" w:rsidRPr="00500333">
        <w:t xml:space="preserve"> </w:t>
      </w:r>
      <w:r w:rsidR="00500333" w:rsidRPr="00500333">
        <w:t xml:space="preserve">by </w:t>
      </w:r>
      <w:r w:rsidR="006C0A21">
        <w:t>the Requesting Party</w:t>
      </w:r>
      <w:r w:rsidR="00500333" w:rsidRPr="00500333">
        <w:t>.</w:t>
      </w:r>
    </w:p>
    <w:p w:rsidR="00CA4CE1" w:rsidRDefault="00CA4CE1" w:rsidP="0095019D">
      <w:pPr>
        <w:pStyle w:val="ListParagraph"/>
      </w:pPr>
      <w:r>
        <w:lastRenderedPageBreak/>
        <w:t>Ordering and Delivery</w:t>
      </w:r>
    </w:p>
    <w:p w:rsidR="00CA4CE1" w:rsidRDefault="00CA4CE1" w:rsidP="005E55A6">
      <w:pPr>
        <w:pStyle w:val="ListParagraph2"/>
        <w:numPr>
          <w:ilvl w:val="2"/>
          <w:numId w:val="33"/>
        </w:numPr>
      </w:pPr>
      <w:r>
        <w:t xml:space="preserve">Ordering and delivery is handled according to </w:t>
      </w:r>
      <w:r w:rsidR="00FE24A4">
        <w:t>Clause</w:t>
      </w:r>
      <w:r w:rsidR="005E55A6">
        <w:t xml:space="preserve"> </w:t>
      </w:r>
      <w:r w:rsidR="00394D16">
        <w:fldChar w:fldCharType="begin"/>
      </w:r>
      <w:r w:rsidR="005E55A6">
        <w:instrText xml:space="preserve"> REF _Ref423852782 \r \h </w:instrText>
      </w:r>
      <w:r w:rsidR="00394D16">
        <w:fldChar w:fldCharType="separate"/>
      </w:r>
      <w:r w:rsidR="00FE24A4">
        <w:rPr>
          <w:cs/>
        </w:rPr>
        <w:t>‎</w:t>
      </w:r>
      <w:r w:rsidR="00FE24A4">
        <w:t>7</w:t>
      </w:r>
      <w:r w:rsidR="00394D16">
        <w:fldChar w:fldCharType="end"/>
      </w:r>
      <w:r w:rsidR="005E55A6">
        <w:t xml:space="preserve"> of this Sub Annex</w:t>
      </w:r>
      <w:r>
        <w:t>.</w:t>
      </w:r>
    </w:p>
    <w:p w:rsidR="00CA4CE1" w:rsidRPr="00F01A5C" w:rsidRDefault="00CA4CE1" w:rsidP="00CA4CE1">
      <w:pPr>
        <w:pStyle w:val="ListParagraph2"/>
      </w:pPr>
      <w:r w:rsidRPr="00F01A5C">
        <w:t>Targeted delivery time for Points of Interconnection is 34 Working Days with a maximum delivery time of 75 Working Days.</w:t>
      </w:r>
    </w:p>
    <w:p w:rsidR="00A80162" w:rsidRPr="00425B19" w:rsidRDefault="00CA4CE1" w:rsidP="00425B19">
      <w:r>
        <w:t xml:space="preserve"> </w:t>
      </w:r>
    </w:p>
    <w:p w:rsidR="00365A18" w:rsidRDefault="00312D45" w:rsidP="00363A87">
      <w:pPr>
        <w:pStyle w:val="Heading1"/>
      </w:pPr>
      <w:bookmarkStart w:id="10" w:name="_Ref423769965"/>
      <w:bookmarkStart w:id="11" w:name="_Toc450895597"/>
      <w:r>
        <w:lastRenderedPageBreak/>
        <w:t>Mobil</w:t>
      </w:r>
      <w:r w:rsidR="00B57A80">
        <w:t>e</w:t>
      </w:r>
      <w:r w:rsidR="001A3F64">
        <w:t xml:space="preserve"> Port Capacity </w:t>
      </w:r>
      <w:r w:rsidR="005A5501">
        <w:t>Service</w:t>
      </w:r>
      <w:bookmarkEnd w:id="10"/>
      <w:bookmarkEnd w:id="11"/>
    </w:p>
    <w:p w:rsidR="007326A4" w:rsidRDefault="007326A4" w:rsidP="001A3F64">
      <w:pPr>
        <w:pStyle w:val="ListParagraph"/>
      </w:pPr>
      <w:r>
        <w:t>General</w:t>
      </w:r>
    </w:p>
    <w:p w:rsidR="007326A4" w:rsidRDefault="007326A4" w:rsidP="007326A4">
      <w:pPr>
        <w:pStyle w:val="ListParagraph2"/>
      </w:pPr>
      <w:r w:rsidRPr="00415110">
        <w:t xml:space="preserve">This </w:t>
      </w:r>
      <w:r w:rsidR="00FE24A4">
        <w:t>Clause</w:t>
      </w:r>
      <w:r>
        <w:t xml:space="preserve"> </w:t>
      </w:r>
      <w:r w:rsidR="00394D16">
        <w:fldChar w:fldCharType="begin"/>
      </w:r>
      <w:r>
        <w:instrText xml:space="preserve"> REF _Ref423769965 \n \h </w:instrText>
      </w:r>
      <w:r w:rsidR="00394D16">
        <w:fldChar w:fldCharType="separate"/>
      </w:r>
      <w:r w:rsidR="00312D45">
        <w:rPr>
          <w:rFonts w:hint="eastAsia"/>
          <w:cs/>
        </w:rPr>
        <w:t>‎</w:t>
      </w:r>
      <w:r w:rsidR="00312D45">
        <w:t>4</w:t>
      </w:r>
      <w:r w:rsidR="00394D16">
        <w:fldChar w:fldCharType="end"/>
      </w:r>
      <w:r>
        <w:t xml:space="preserve"> </w:t>
      </w:r>
      <w:r w:rsidRPr="00415110">
        <w:t xml:space="preserve">sets out the Port Capacity </w:t>
      </w:r>
      <w:r w:rsidR="005A5501">
        <w:t>Service</w:t>
      </w:r>
      <w:r w:rsidRPr="00415110">
        <w:t>s</w:t>
      </w:r>
      <w:r>
        <w:t xml:space="preserve"> of the Omantel </w:t>
      </w:r>
      <w:r w:rsidR="00312D45">
        <w:t xml:space="preserve">Mobile </w:t>
      </w:r>
      <w:r>
        <w:t>Network.</w:t>
      </w:r>
    </w:p>
    <w:p w:rsidR="007326A4" w:rsidRDefault="007326A4" w:rsidP="007326A4">
      <w:pPr>
        <w:pStyle w:val="ListParagraph2"/>
      </w:pPr>
      <w:r>
        <w:t>Omantel shall provide access to its respective switches by means of ports at each Point of Interconnection.</w:t>
      </w:r>
    </w:p>
    <w:p w:rsidR="007326A4" w:rsidRDefault="007326A4" w:rsidP="007326A4">
      <w:pPr>
        <w:pStyle w:val="ListParagraph2"/>
      </w:pPr>
      <w:r>
        <w:t>Port Capacity is available in increments of 2 Mbit/s</w:t>
      </w:r>
    </w:p>
    <w:p w:rsidR="001A3F64" w:rsidRDefault="001A3F64" w:rsidP="001A3F64">
      <w:pPr>
        <w:pStyle w:val="ListParagraph"/>
      </w:pPr>
      <w:r>
        <w:t>Definitions</w:t>
      </w:r>
    </w:p>
    <w:p w:rsidR="001A3F64" w:rsidRPr="004D186A" w:rsidRDefault="001A3F64" w:rsidP="00FE24A4">
      <w:pPr>
        <w:pStyle w:val="ListParagraph2"/>
      </w:pPr>
      <w:r w:rsidRPr="004D186A">
        <w:t>The definitions in Annex L shall apply to this Sub</w:t>
      </w:r>
      <w:r>
        <w:t xml:space="preserve"> </w:t>
      </w:r>
      <w:r w:rsidRPr="004D186A">
        <w:t>Annex in addition to the following definitions:</w:t>
      </w:r>
    </w:p>
    <w:p w:rsidR="001A3F64" w:rsidRPr="006B0622" w:rsidRDefault="001A3F64" w:rsidP="001A3F64">
      <w:pPr>
        <w:pStyle w:val="listParagrapha"/>
      </w:pPr>
      <w:r w:rsidRPr="004D186A">
        <w:t xml:space="preserve">Port Capacity – The number of </w:t>
      </w:r>
      <w:r w:rsidRPr="006B0622">
        <w:t xml:space="preserve">2Mbit/s switch ports at a Point of Interconnection </w:t>
      </w:r>
    </w:p>
    <w:p w:rsidR="007326A4" w:rsidRPr="006B0622" w:rsidRDefault="001A3F64" w:rsidP="007326A4">
      <w:pPr>
        <w:pStyle w:val="listParagrapha"/>
      </w:pPr>
      <w:r w:rsidRPr="004D186A">
        <w:t xml:space="preserve">Port Capacity Order - </w:t>
      </w:r>
      <w:r w:rsidRPr="006B0622">
        <w:t xml:space="preserve">An order for 2 Mbit/s port capacity at a Point of Interconnection submitted by </w:t>
      </w:r>
      <w:r w:rsidR="006C0A21">
        <w:t>the Requesting Party</w:t>
      </w:r>
      <w:r w:rsidRPr="006B0622">
        <w:t xml:space="preserve"> to </w:t>
      </w:r>
      <w:r>
        <w:t>Omantel</w:t>
      </w:r>
      <w:r w:rsidRPr="006B0622">
        <w:t>.</w:t>
      </w:r>
    </w:p>
    <w:p w:rsidR="001A3F64" w:rsidRDefault="00DC40DF" w:rsidP="00DC40DF">
      <w:pPr>
        <w:pStyle w:val="ListParagraph"/>
      </w:pPr>
      <w:bookmarkStart w:id="12" w:name="_Toc419105983"/>
      <w:r w:rsidRPr="002542BD">
        <w:t>Order</w:t>
      </w:r>
      <w:r w:rsidR="00434042">
        <w:t>ing</w:t>
      </w:r>
      <w:r w:rsidRPr="002542BD">
        <w:t xml:space="preserve"> </w:t>
      </w:r>
      <w:r w:rsidR="00CA4CE1">
        <w:t xml:space="preserve">and </w:t>
      </w:r>
      <w:r w:rsidRPr="002542BD">
        <w:t>Delivery</w:t>
      </w:r>
      <w:bookmarkEnd w:id="12"/>
    </w:p>
    <w:p w:rsidR="008E1191" w:rsidRPr="008E1191" w:rsidRDefault="008E1191" w:rsidP="001634D9">
      <w:pPr>
        <w:pStyle w:val="ListParagraph2"/>
        <w:numPr>
          <w:ilvl w:val="2"/>
          <w:numId w:val="31"/>
        </w:numPr>
        <w:rPr>
          <w:bCs/>
        </w:rPr>
      </w:pPr>
      <w:r>
        <w:t xml:space="preserve">Ordering and delivery is handled according to </w:t>
      </w:r>
      <w:r w:rsidR="00FE24A4">
        <w:t>Clause</w:t>
      </w:r>
      <w:r w:rsidR="00434042">
        <w:t xml:space="preserve"> </w:t>
      </w:r>
      <w:r w:rsidR="001634D9">
        <w:fldChar w:fldCharType="begin"/>
      </w:r>
      <w:r w:rsidR="001634D9">
        <w:instrText xml:space="preserve"> REF _Ref423852782 \r \h </w:instrText>
      </w:r>
      <w:r w:rsidR="001634D9">
        <w:fldChar w:fldCharType="separate"/>
      </w:r>
      <w:r w:rsidR="001634D9">
        <w:rPr>
          <w:cs/>
        </w:rPr>
        <w:t>‎</w:t>
      </w:r>
      <w:r w:rsidR="001634D9">
        <w:t>7</w:t>
      </w:r>
      <w:r w:rsidR="001634D9">
        <w:fldChar w:fldCharType="end"/>
      </w:r>
      <w:r w:rsidR="001634D9">
        <w:t xml:space="preserve"> </w:t>
      </w:r>
      <w:r w:rsidR="00434042">
        <w:t>of this Sub Annex</w:t>
      </w:r>
      <w:r>
        <w:t>.</w:t>
      </w:r>
    </w:p>
    <w:p w:rsidR="00DC40DF" w:rsidRPr="00DC40DF" w:rsidRDefault="00DC40DF" w:rsidP="00DC40DF">
      <w:pPr>
        <w:pStyle w:val="ListParagraph2"/>
        <w:numPr>
          <w:ilvl w:val="2"/>
          <w:numId w:val="31"/>
        </w:numPr>
        <w:rPr>
          <w:bCs/>
        </w:rPr>
      </w:pPr>
      <w:r>
        <w:t>With respect to Port Capacity ordered at a Point of Interconnection already in operation Omantel shall use its best endeavors to have a target delivery time of 25 Working Days and shall not exceed 70 Working Days following the date of receipt of the relevant Port Capacity Order.</w:t>
      </w:r>
    </w:p>
    <w:p w:rsidR="00DC40DF" w:rsidRDefault="00DC40DF" w:rsidP="001634D9">
      <w:pPr>
        <w:pStyle w:val="ListParagraph2"/>
      </w:pPr>
      <w:r>
        <w:t xml:space="preserve">Port Capacity ordered at Point of Interconnection that is not already in operation shall have a target delivery time according to </w:t>
      </w:r>
      <w:r w:rsidR="00FE24A4">
        <w:t>Clause</w:t>
      </w:r>
      <w:r w:rsidR="00E36469">
        <w:t xml:space="preserve"> </w:t>
      </w:r>
      <w:r w:rsidR="001634D9">
        <w:t>7</w:t>
      </w:r>
      <w:r w:rsidR="00E36469">
        <w:t xml:space="preserve"> of this Sub Annex</w:t>
      </w:r>
      <w:r>
        <w:t>.</w:t>
      </w:r>
    </w:p>
    <w:p w:rsidR="00DC40DF" w:rsidRDefault="00DC40DF" w:rsidP="00DC40DF">
      <w:pPr>
        <w:pStyle w:val="ListParagraph2"/>
      </w:pPr>
      <w:r>
        <w:t xml:space="preserve">If testing is considered necessary by one Party such testing shall be fulfilled in accordance with test specifications contained in this </w:t>
      </w:r>
      <w:r w:rsidR="001634D9">
        <w:t>A</w:t>
      </w:r>
      <w:r>
        <w:t>greement.</w:t>
      </w:r>
    </w:p>
    <w:p w:rsidR="00DC40DF" w:rsidRDefault="00DC40DF" w:rsidP="00DC40DF">
      <w:pPr>
        <w:pStyle w:val="ListParagraph2"/>
      </w:pPr>
      <w:r>
        <w:lastRenderedPageBreak/>
        <w:t xml:space="preserve">The Parties shall use reasonable endeavors to complete such testing in the shortest appropriate time. Omantel shall provide </w:t>
      </w:r>
      <w:r w:rsidR="006C0A21">
        <w:t>the Requesting Party</w:t>
      </w:r>
      <w:r>
        <w:t xml:space="preserve"> with reasonable time to prepare for the testing before commencing the testing. The Parties shall co-operate to ensure that testing is reasonably spread across the agreed testing period.</w:t>
      </w:r>
    </w:p>
    <w:p w:rsidR="00DC40DF" w:rsidRPr="001A3F64" w:rsidRDefault="00DC40DF" w:rsidP="00DC40DF">
      <w:pPr>
        <w:pStyle w:val="ListParagraph2"/>
      </w:pPr>
      <w:r>
        <w:t xml:space="preserve">As soon as the Port Capacity is ready for </w:t>
      </w:r>
      <w:r w:rsidR="005A5501">
        <w:t>Service</w:t>
      </w:r>
      <w:r>
        <w:t>, both Parties shall in writing or via e-mail certify that the Port Capacity Order has been satisfactory delivered.</w:t>
      </w:r>
    </w:p>
    <w:p w:rsidR="00A80162" w:rsidRDefault="008D26CF" w:rsidP="008D26CF">
      <w:pPr>
        <w:pStyle w:val="ListParagraph"/>
      </w:pPr>
      <w:r>
        <w:t>Removal of Port Capacity</w:t>
      </w:r>
    </w:p>
    <w:p w:rsidR="008D26CF" w:rsidRDefault="008D26CF" w:rsidP="008D26CF">
      <w:pPr>
        <w:pStyle w:val="ListParagraph2"/>
        <w:numPr>
          <w:ilvl w:val="2"/>
          <w:numId w:val="35"/>
        </w:numPr>
      </w:pPr>
      <w:r>
        <w:t xml:space="preserve">Other than for reasons of payment default by </w:t>
      </w:r>
      <w:r w:rsidR="008B6FB2">
        <w:t>Requesting Party</w:t>
      </w:r>
      <w:r>
        <w:t xml:space="preserve"> or as otherwise provided for under the terms of this Agreement once installed, Port Capacity can only be terminated by Omantel with the written consent of the Party paying for the </w:t>
      </w:r>
      <w:r w:rsidR="005A5501">
        <w:t>Service</w:t>
      </w:r>
      <w:r>
        <w:t>.</w:t>
      </w:r>
    </w:p>
    <w:p w:rsidR="008D26CF" w:rsidRDefault="006C0A21" w:rsidP="007D5E26">
      <w:pPr>
        <w:pStyle w:val="ListParagraph2"/>
      </w:pPr>
      <w:r>
        <w:t>The Requesting Party</w:t>
      </w:r>
      <w:r w:rsidR="008D26CF">
        <w:t xml:space="preserve"> may terminate any Port Capacity at any POI upon twelve (12) weeks written notice to Omantel. The notice should be sent to the Omantel (the position responsible for network design and ordering) as defined in Annex K.</w:t>
      </w:r>
    </w:p>
    <w:p w:rsidR="007D5E26" w:rsidRDefault="007D5E26" w:rsidP="007D5E26">
      <w:pPr>
        <w:pStyle w:val="ListParagraph"/>
      </w:pPr>
      <w:r>
        <w:t>Order Amendment</w:t>
      </w:r>
    </w:p>
    <w:p w:rsidR="007D5E26" w:rsidRPr="0066499B" w:rsidRDefault="007D5E26" w:rsidP="007D5E26">
      <w:pPr>
        <w:pStyle w:val="ListParagraph2"/>
        <w:numPr>
          <w:ilvl w:val="2"/>
          <w:numId w:val="38"/>
        </w:numPr>
      </w:pPr>
      <w:r>
        <w:t>Port Capacity Orders may not be amended unless the Parties agree to do so in writing.</w:t>
      </w:r>
    </w:p>
    <w:p w:rsidR="00156A6B" w:rsidRDefault="00156A6B" w:rsidP="00156A6B">
      <w:pPr>
        <w:pStyle w:val="Heading1"/>
      </w:pPr>
      <w:bookmarkStart w:id="13" w:name="_Ref423786197"/>
      <w:bookmarkStart w:id="14" w:name="_Toc450037005"/>
      <w:bookmarkStart w:id="15" w:name="_Ref423850766"/>
      <w:bookmarkStart w:id="16" w:name="_Toc450895598"/>
      <w:r>
        <w:lastRenderedPageBreak/>
        <w:t>Basic Block and Expansion Co-location</w:t>
      </w:r>
      <w:bookmarkEnd w:id="13"/>
      <w:bookmarkEnd w:id="14"/>
      <w:r>
        <w:t xml:space="preserve"> </w:t>
      </w:r>
    </w:p>
    <w:p w:rsidR="00156A6B" w:rsidRDefault="00156A6B" w:rsidP="00156A6B">
      <w:pPr>
        <w:pStyle w:val="ListParagraph"/>
      </w:pPr>
      <w:r>
        <w:t xml:space="preserve">General </w:t>
      </w:r>
    </w:p>
    <w:p w:rsidR="00156A6B" w:rsidRDefault="00156A6B" w:rsidP="00FE24A4">
      <w:pPr>
        <w:pStyle w:val="ListParagraph2"/>
      </w:pPr>
      <w:r>
        <w:t xml:space="preserve">The Basic Block and Expansion Co-Location arrangement under this </w:t>
      </w:r>
      <w:r w:rsidR="00FE24A4">
        <w:t>Clause</w:t>
      </w:r>
      <w:r>
        <w:t xml:space="preserve"> </w:t>
      </w:r>
      <w:r w:rsidR="0031714B">
        <w:fldChar w:fldCharType="begin"/>
      </w:r>
      <w:r w:rsidR="0031714B">
        <w:instrText xml:space="preserve"> REF _Ref423786197 \r \h  \* MERGEFORMAT </w:instrText>
      </w:r>
      <w:r w:rsidR="0031714B">
        <w:fldChar w:fldCharType="separate"/>
      </w:r>
      <w:r>
        <w:rPr>
          <w:rFonts w:ascii="Arial" w:hAnsi="Arial" w:hint="cs"/>
          <w:cs/>
        </w:rPr>
        <w:t>‎</w:t>
      </w:r>
      <w:r>
        <w:rPr>
          <w:rFonts w:ascii="Arial" w:hAnsi="Arial"/>
        </w:rPr>
        <w:t>5</w:t>
      </w:r>
      <w:r w:rsidR="0031714B">
        <w:fldChar w:fldCharType="end"/>
      </w:r>
      <w:r>
        <w:t xml:space="preserve"> is for reserving the </w:t>
      </w:r>
      <w:r w:rsidR="00FE24A4">
        <w:t xml:space="preserve">block of </w:t>
      </w:r>
      <w:r>
        <w:t xml:space="preserve">port capacity at the Point </w:t>
      </w:r>
      <w:r w:rsidR="00031F96">
        <w:t>of</w:t>
      </w:r>
      <w:r>
        <w:t xml:space="preserve"> Interconnection.</w:t>
      </w:r>
    </w:p>
    <w:p w:rsidR="00156A6B" w:rsidRDefault="00156A6B" w:rsidP="00156A6B">
      <w:pPr>
        <w:pStyle w:val="ListParagraph2"/>
        <w:numPr>
          <w:ilvl w:val="2"/>
          <w:numId w:val="13"/>
        </w:numPr>
      </w:pPr>
      <w:r>
        <w:t xml:space="preserve">Omantel will provide the requested connectivity between the Omantel Mobile POI and the Requesting Party </w:t>
      </w:r>
      <w:r w:rsidR="001634D9">
        <w:t>E</w:t>
      </w:r>
      <w:r>
        <w:t xml:space="preserve">quipment </w:t>
      </w:r>
      <w:r w:rsidR="001634D9">
        <w:t>C</w:t>
      </w:r>
      <w:r>
        <w:t>o-located at Omantel premise</w:t>
      </w:r>
      <w:r w:rsidR="001634D9">
        <w:t>s</w:t>
      </w:r>
      <w:r>
        <w:t xml:space="preserve"> in accordance with the Co-location Services described in Sub Annex C-FA 04 and Wholesale Transmission as described in Sub Annex C-FA 08.</w:t>
      </w:r>
    </w:p>
    <w:p w:rsidR="00156A6B" w:rsidRDefault="00156A6B" w:rsidP="00156A6B">
      <w:pPr>
        <w:pStyle w:val="ListParagraph"/>
      </w:pPr>
      <w:r>
        <w:t>The Products</w:t>
      </w:r>
    </w:p>
    <w:p w:rsidR="00156A6B" w:rsidRDefault="00156A6B" w:rsidP="00FE24A4">
      <w:pPr>
        <w:pStyle w:val="ListParagraph2"/>
        <w:numPr>
          <w:ilvl w:val="2"/>
          <w:numId w:val="63"/>
        </w:numPr>
      </w:pPr>
      <w:r>
        <w:t>Omantel offers the following products option for the Basic Block and Expansion Co-location:</w:t>
      </w:r>
    </w:p>
    <w:p w:rsidR="00156A6B" w:rsidRDefault="00156A6B" w:rsidP="00156A6B">
      <w:pPr>
        <w:pStyle w:val="listParagrapha"/>
        <w:numPr>
          <w:ilvl w:val="0"/>
          <w:numId w:val="9"/>
        </w:numPr>
      </w:pPr>
      <w:r>
        <w:t>Interconnection Basic Block 63 X 2 Mbps Customer Interface.</w:t>
      </w:r>
    </w:p>
    <w:p w:rsidR="00156A6B" w:rsidRDefault="00156A6B" w:rsidP="00156A6B">
      <w:pPr>
        <w:pStyle w:val="listParagrapha"/>
        <w:numPr>
          <w:ilvl w:val="0"/>
          <w:numId w:val="9"/>
        </w:numPr>
      </w:pPr>
      <w:r>
        <w:t>Interconnection Basic Block 1 X STM-1 Customer Interface.</w:t>
      </w:r>
    </w:p>
    <w:p w:rsidR="00156A6B" w:rsidRDefault="00156A6B" w:rsidP="00156A6B">
      <w:pPr>
        <w:pStyle w:val="listParagrapha"/>
        <w:numPr>
          <w:ilvl w:val="0"/>
          <w:numId w:val="9"/>
        </w:numPr>
      </w:pPr>
      <w:r>
        <w:t>Interconnection Expansion Block (63 X 2 Mbps) Customer Interface.</w:t>
      </w:r>
    </w:p>
    <w:p w:rsidR="00156A6B" w:rsidRDefault="00156A6B" w:rsidP="00156A6B">
      <w:pPr>
        <w:pStyle w:val="listParagrapha"/>
        <w:numPr>
          <w:ilvl w:val="0"/>
          <w:numId w:val="9"/>
        </w:numPr>
      </w:pPr>
      <w:r>
        <w:t>Interconnection Expansion Block 1 X STM-1 Customer Interface</w:t>
      </w:r>
    </w:p>
    <w:p w:rsidR="00156A6B" w:rsidRDefault="00156A6B" w:rsidP="00156A6B">
      <w:pPr>
        <w:pStyle w:val="ListParagraph"/>
      </w:pPr>
      <w:r>
        <w:t>Ordering and Delivery</w:t>
      </w:r>
    </w:p>
    <w:p w:rsidR="00156A6B" w:rsidRDefault="00156A6B" w:rsidP="00156A6B">
      <w:pPr>
        <w:pStyle w:val="ListParagraph2"/>
        <w:numPr>
          <w:ilvl w:val="2"/>
          <w:numId w:val="13"/>
        </w:numPr>
      </w:pPr>
      <w:r>
        <w:t xml:space="preserve">Ordering and delivery is handled according to </w:t>
      </w:r>
      <w:r w:rsidR="00FE24A4">
        <w:t>Clause</w:t>
      </w:r>
      <w:r>
        <w:t xml:space="preserve"> </w:t>
      </w:r>
      <w:r w:rsidR="00394D16">
        <w:fldChar w:fldCharType="begin"/>
      </w:r>
      <w:r>
        <w:instrText xml:space="preserve"> REF _Ref423852782 \r \h </w:instrText>
      </w:r>
      <w:r w:rsidR="00394D16">
        <w:fldChar w:fldCharType="separate"/>
      </w:r>
      <w:r w:rsidR="00FE24A4">
        <w:rPr>
          <w:cs/>
        </w:rPr>
        <w:t>‎</w:t>
      </w:r>
      <w:r w:rsidR="00FE24A4">
        <w:t>7</w:t>
      </w:r>
      <w:r w:rsidR="00394D16">
        <w:fldChar w:fldCharType="end"/>
      </w:r>
      <w:r>
        <w:t xml:space="preserve"> of this Sub Annex</w:t>
      </w:r>
      <w:r w:rsidR="00FE24A4">
        <w:t>.</w:t>
      </w:r>
    </w:p>
    <w:p w:rsidR="00156A6B" w:rsidRDefault="00156A6B" w:rsidP="00156A6B">
      <w:pPr>
        <w:pStyle w:val="ListParagraph2"/>
      </w:pPr>
      <w:r>
        <w:t>The target delivery time is estimated to be 30 Working Days and shall</w:t>
      </w:r>
      <w:bookmarkStart w:id="17" w:name="_GoBack"/>
      <w:bookmarkEnd w:id="17"/>
      <w:r>
        <w:t xml:space="preserve"> not exceed 60 Working Days subject to feasibility.</w:t>
      </w:r>
    </w:p>
    <w:p w:rsidR="00F63839" w:rsidRPr="00431CB3" w:rsidRDefault="00156A6B" w:rsidP="00AF1A79">
      <w:pPr>
        <w:pStyle w:val="ListParagraph2"/>
      </w:pPr>
      <w:r>
        <w:t xml:space="preserve">Requests for Basic Block and Expansion Co-location that are not specified in this Sub Annex may be undertaken upon request as in </w:t>
      </w:r>
      <w:r w:rsidR="00FE24A4">
        <w:t>Clause</w:t>
      </w:r>
      <w:r>
        <w:t xml:space="preserve"> </w:t>
      </w:r>
      <w:r w:rsidR="0031714B">
        <w:fldChar w:fldCharType="begin"/>
      </w:r>
      <w:r w:rsidR="0031714B">
        <w:instrText xml:space="preserve"> REF _Ref423852782 \r \h  \* MERGEFORMAT </w:instrText>
      </w:r>
      <w:r w:rsidR="0031714B">
        <w:fldChar w:fldCharType="separate"/>
      </w:r>
      <w:r w:rsidR="00FE24A4">
        <w:rPr>
          <w:cs/>
        </w:rPr>
        <w:t>‎</w:t>
      </w:r>
      <w:r w:rsidR="00FE24A4">
        <w:t>7</w:t>
      </w:r>
      <w:r w:rsidR="0031714B">
        <w:fldChar w:fldCharType="end"/>
      </w:r>
      <w:r>
        <w:t xml:space="preserve"> of this Sub Annex.</w:t>
      </w:r>
    </w:p>
    <w:p w:rsidR="003E0D40" w:rsidRDefault="003E0D40" w:rsidP="00761CEB">
      <w:pPr>
        <w:pStyle w:val="Heading1"/>
      </w:pPr>
      <w:r>
        <w:lastRenderedPageBreak/>
        <w:t>Number Ranges Implementation</w:t>
      </w:r>
      <w:bookmarkEnd w:id="15"/>
      <w:bookmarkEnd w:id="16"/>
    </w:p>
    <w:p w:rsidR="003E0D40" w:rsidRDefault="004E22C5" w:rsidP="004E22C5">
      <w:pPr>
        <w:pStyle w:val="ListParagraph"/>
      </w:pPr>
      <w:r>
        <w:t>General</w:t>
      </w:r>
    </w:p>
    <w:p w:rsidR="004E22C5" w:rsidRDefault="004E22C5" w:rsidP="000D400E">
      <w:pPr>
        <w:pStyle w:val="ListParagraph2"/>
      </w:pPr>
      <w:r w:rsidRPr="004E22C5">
        <w:t xml:space="preserve">Omantel delivers </w:t>
      </w:r>
      <w:r w:rsidR="005A5501">
        <w:t>Service</w:t>
      </w:r>
      <w:r w:rsidRPr="004E22C5">
        <w:t xml:space="preserve">s to implement numbers in the Omantel </w:t>
      </w:r>
      <w:r w:rsidR="000D400E">
        <w:t>Mobile N</w:t>
      </w:r>
      <w:r w:rsidRPr="004E22C5">
        <w:t xml:space="preserve">etwork. The </w:t>
      </w:r>
      <w:r w:rsidR="005A5501">
        <w:t>Service</w:t>
      </w:r>
      <w:r w:rsidRPr="004E22C5">
        <w:t>s are charged and delivered according to the conditions stated in this</w:t>
      </w:r>
      <w:r>
        <w:t xml:space="preserve"> </w:t>
      </w:r>
      <w:r w:rsidR="00FE24A4">
        <w:t>Clause</w:t>
      </w:r>
      <w:r>
        <w:t xml:space="preserve"> </w:t>
      </w:r>
      <w:r w:rsidR="00394D16">
        <w:fldChar w:fldCharType="begin"/>
      </w:r>
      <w:r>
        <w:instrText xml:space="preserve"> REF _Ref423850766 \r \h </w:instrText>
      </w:r>
      <w:r w:rsidR="00394D16">
        <w:fldChar w:fldCharType="separate"/>
      </w:r>
      <w:r w:rsidR="00FE24A4">
        <w:rPr>
          <w:cs/>
        </w:rPr>
        <w:t>‎</w:t>
      </w:r>
      <w:r w:rsidR="00FE24A4">
        <w:t>5</w:t>
      </w:r>
      <w:r w:rsidR="00394D16">
        <w:fldChar w:fldCharType="end"/>
      </w:r>
    </w:p>
    <w:p w:rsidR="004E22C5" w:rsidRPr="00404E93" w:rsidRDefault="004E22C5" w:rsidP="004E22C5">
      <w:pPr>
        <w:pStyle w:val="ListParagraph2"/>
      </w:pPr>
      <w:bookmarkStart w:id="18" w:name="_Toc268519273"/>
      <w:r w:rsidRPr="003827D0">
        <w:t xml:space="preserve">Omantel will only accept orders concerning number ranges that are allocated to </w:t>
      </w:r>
      <w:r w:rsidR="006C0A21">
        <w:t>the Requesting Party</w:t>
      </w:r>
      <w:r w:rsidRPr="003827D0">
        <w:t>, according to the National Numbering Plan published by the TRA</w:t>
      </w:r>
      <w:r w:rsidRPr="002F2349">
        <w:t>.</w:t>
      </w:r>
      <w:bookmarkEnd w:id="18"/>
    </w:p>
    <w:p w:rsidR="00074CA2" w:rsidRDefault="000507AA" w:rsidP="00074CA2">
      <w:pPr>
        <w:pStyle w:val="ListParagraph"/>
      </w:pPr>
      <w:r>
        <w:t xml:space="preserve">Omantel </w:t>
      </w:r>
      <w:r w:rsidR="005A5501">
        <w:t>Service</w:t>
      </w:r>
      <w:r>
        <w:t>s for Number Implementation</w:t>
      </w:r>
    </w:p>
    <w:p w:rsidR="000507AA" w:rsidRPr="003827D0" w:rsidRDefault="000507AA" w:rsidP="00D63DD6">
      <w:pPr>
        <w:pStyle w:val="ListParagraph2"/>
        <w:numPr>
          <w:ilvl w:val="2"/>
          <w:numId w:val="56"/>
        </w:numPr>
      </w:pPr>
      <w:bookmarkStart w:id="19" w:name="_Toc268519275"/>
      <w:r w:rsidRPr="001850AD">
        <w:t xml:space="preserve">Omantel implements number resources, and will make them available for </w:t>
      </w:r>
      <w:r w:rsidR="001634D9">
        <w:t>C</w:t>
      </w:r>
      <w:r w:rsidRPr="001850AD">
        <w:t>ustomers</w:t>
      </w:r>
      <w:r w:rsidRPr="003827D0">
        <w:t xml:space="preserve"> directly connected to the Omantel </w:t>
      </w:r>
      <w:r w:rsidR="00D63DD6">
        <w:t xml:space="preserve">Mobile </w:t>
      </w:r>
      <w:r w:rsidRPr="003827D0">
        <w:t>Network; Omantel will also make the said numbers available for terminating Calls.</w:t>
      </w:r>
      <w:bookmarkEnd w:id="19"/>
      <w:r w:rsidRPr="003827D0">
        <w:t xml:space="preserve"> </w:t>
      </w:r>
    </w:p>
    <w:p w:rsidR="000507AA" w:rsidRDefault="000507AA" w:rsidP="00C15EED">
      <w:pPr>
        <w:pStyle w:val="ListParagraph2"/>
        <w:numPr>
          <w:ilvl w:val="2"/>
          <w:numId w:val="56"/>
        </w:numPr>
      </w:pPr>
      <w:bookmarkStart w:id="20" w:name="_Toc268519279"/>
      <w:r>
        <w:t xml:space="preserve">Number implementation means implementing of new number resources in the Omantel </w:t>
      </w:r>
      <w:r w:rsidR="00C15EED">
        <w:t xml:space="preserve">Mobile </w:t>
      </w:r>
      <w:r>
        <w:t xml:space="preserve">Network and changing or disconnecting existing Number resources in the Omantel </w:t>
      </w:r>
      <w:r w:rsidR="00C15EED">
        <w:t xml:space="preserve">Mobile </w:t>
      </w:r>
      <w:r>
        <w:t>Network.</w:t>
      </w:r>
      <w:bookmarkEnd w:id="20"/>
    </w:p>
    <w:p w:rsidR="000507AA" w:rsidRDefault="000507AA" w:rsidP="000507AA">
      <w:pPr>
        <w:pStyle w:val="ListParagraph2"/>
        <w:numPr>
          <w:ilvl w:val="2"/>
          <w:numId w:val="56"/>
        </w:numPr>
      </w:pPr>
      <w:r w:rsidRPr="003827D0">
        <w:t xml:space="preserve">The Number implementation </w:t>
      </w:r>
      <w:r w:rsidR="005A5501">
        <w:t>Service</w:t>
      </w:r>
      <w:r w:rsidRPr="003827D0">
        <w:t xml:space="preserve"> is supplied as two different types</w:t>
      </w:r>
      <w:r>
        <w:t>:</w:t>
      </w:r>
    </w:p>
    <w:p w:rsidR="000507AA" w:rsidRPr="002D6963" w:rsidRDefault="000507AA" w:rsidP="001634D9">
      <w:pPr>
        <w:pStyle w:val="ListParagraph3"/>
        <w:numPr>
          <w:ilvl w:val="3"/>
          <w:numId w:val="55"/>
        </w:numPr>
      </w:pPr>
      <w:r w:rsidRPr="001850AD">
        <w:t>Omantel Number Impleme</w:t>
      </w:r>
      <w:r>
        <w:t xml:space="preserve">ntation in a defined time frame - </w:t>
      </w:r>
      <w:bookmarkStart w:id="21" w:name="_Toc268519280"/>
      <w:r w:rsidRPr="002D6963">
        <w:t xml:space="preserve">The </w:t>
      </w:r>
      <w:r w:rsidR="005A5501">
        <w:t>Service</w:t>
      </w:r>
      <w:r w:rsidRPr="002D6963">
        <w:t xml:space="preserve"> is used when implementation of Number resources are not time-critical. The implementation will be performed at a time chosen as suitable to Omantel within the agreed time frame</w:t>
      </w:r>
      <w:r w:rsidR="001634D9">
        <w:t xml:space="preserve"> and</w:t>
      </w:r>
      <w:r w:rsidR="001634D9" w:rsidRPr="002D6963">
        <w:t xml:space="preserve"> </w:t>
      </w:r>
      <w:r w:rsidRPr="002D6963">
        <w:t>the maximum delivery time.</w:t>
      </w:r>
      <w:bookmarkEnd w:id="21"/>
    </w:p>
    <w:p w:rsidR="000507AA" w:rsidRDefault="000507AA" w:rsidP="000507AA">
      <w:pPr>
        <w:pStyle w:val="ListParagraph3"/>
        <w:numPr>
          <w:ilvl w:val="3"/>
          <w:numId w:val="54"/>
        </w:numPr>
      </w:pPr>
      <w:r w:rsidRPr="001850AD">
        <w:t>Omantel Number im</w:t>
      </w:r>
      <w:r>
        <w:t xml:space="preserve">plementation at a specific time - </w:t>
      </w:r>
      <w:bookmarkStart w:id="22" w:name="_Toc268519281"/>
      <w:r w:rsidRPr="003827D0">
        <w:t xml:space="preserve">The </w:t>
      </w:r>
      <w:r w:rsidR="005A5501">
        <w:t>Service</w:t>
      </w:r>
      <w:r w:rsidRPr="003827D0">
        <w:t xml:space="preserve"> is used when the implementation of the Number resources is to be performed on a specific date. This </w:t>
      </w:r>
      <w:r w:rsidR="005A5501">
        <w:t>Service</w:t>
      </w:r>
      <w:r w:rsidRPr="003827D0">
        <w:t xml:space="preserve"> makes it possible to implement Number resources with minimal disturbance of the customer base</w:t>
      </w:r>
      <w:bookmarkEnd w:id="22"/>
    </w:p>
    <w:p w:rsidR="00CC7E52" w:rsidRDefault="00CC7E52" w:rsidP="00CC7E52">
      <w:pPr>
        <w:pStyle w:val="ListParagraph"/>
        <w:numPr>
          <w:ilvl w:val="1"/>
          <w:numId w:val="54"/>
        </w:numPr>
      </w:pPr>
      <w:r>
        <w:t>Specific Conditions to Type of Number Resources</w:t>
      </w:r>
    </w:p>
    <w:p w:rsidR="00CC7E52" w:rsidRDefault="00CC7E52" w:rsidP="002B4563">
      <w:pPr>
        <w:pStyle w:val="ListParagraph2"/>
        <w:numPr>
          <w:ilvl w:val="2"/>
          <w:numId w:val="59"/>
        </w:numPr>
      </w:pPr>
      <w:r>
        <w:lastRenderedPageBreak/>
        <w:t xml:space="preserve">Implementation of </w:t>
      </w:r>
      <w:r w:rsidR="006C0A21">
        <w:t>the Requesting Party</w:t>
      </w:r>
      <w:r w:rsidR="00FA143C">
        <w:t>’</w:t>
      </w:r>
      <w:r>
        <w:t xml:space="preserve">s number range on Omantel Mobile Network </w:t>
      </w:r>
      <w:r w:rsidRPr="009C17D7">
        <w:t>is performed with an analysis corresponding to the number of digits which the number range has according to the Numbering Plan published by the TRA.</w:t>
      </w:r>
    </w:p>
    <w:p w:rsidR="002B4563" w:rsidRPr="00781298" w:rsidRDefault="002B4563" w:rsidP="002B4563">
      <w:pPr>
        <w:pStyle w:val="ListParagraph2"/>
      </w:pPr>
      <w:r>
        <w:t xml:space="preserve">Number for testing purposes - </w:t>
      </w:r>
      <w:bookmarkStart w:id="23" w:name="_Toc268519285"/>
      <w:r w:rsidR="006C0A21">
        <w:t>The Requesting Party</w:t>
      </w:r>
      <w:r w:rsidRPr="00781298">
        <w:t xml:space="preserve"> shall supply Omantel with </w:t>
      </w:r>
      <w:r>
        <w:t>at least</w:t>
      </w:r>
      <w:r w:rsidRPr="00781298">
        <w:t xml:space="preserve"> one (1) number for testing purposes. At that number there shall be an automatic answer stating that the call is delivered to </w:t>
      </w:r>
      <w:r w:rsidR="006C0A21">
        <w:t>the Requesting Party</w:t>
      </w:r>
      <w:r w:rsidRPr="00781298">
        <w:t xml:space="preserve">’s network and stating </w:t>
      </w:r>
      <w:r w:rsidR="006C0A21">
        <w:t>the Requesting Party</w:t>
      </w:r>
      <w:r w:rsidRPr="00781298">
        <w:t>’s name. The number for testing purpose is to be permanent.</w:t>
      </w:r>
      <w:bookmarkEnd w:id="23"/>
    </w:p>
    <w:p w:rsidR="0095019D" w:rsidRDefault="0095019D" w:rsidP="00761CEB">
      <w:pPr>
        <w:pStyle w:val="Heading1"/>
      </w:pPr>
      <w:bookmarkStart w:id="24" w:name="_Ref423852782"/>
      <w:bookmarkStart w:id="25" w:name="_Toc450895599"/>
      <w:r>
        <w:lastRenderedPageBreak/>
        <w:t>Ordering and Delivery</w:t>
      </w:r>
      <w:bookmarkEnd w:id="24"/>
      <w:bookmarkEnd w:id="25"/>
    </w:p>
    <w:p w:rsidR="0095019D" w:rsidRPr="00DB01B6" w:rsidRDefault="0095019D" w:rsidP="001634D9">
      <w:pPr>
        <w:pStyle w:val="ListParagraph"/>
      </w:pPr>
      <w:r>
        <w:t>Ordering and Delivery defined in</w:t>
      </w:r>
      <w:r w:rsidRPr="004D186A">
        <w:t xml:space="preserve"> Annex </w:t>
      </w:r>
      <w:r>
        <w:t>H</w:t>
      </w:r>
      <w:r w:rsidRPr="004D186A">
        <w:t xml:space="preserve"> shall apply to this Sub</w:t>
      </w:r>
      <w:r>
        <w:t xml:space="preserve"> </w:t>
      </w:r>
      <w:r w:rsidRPr="004D186A">
        <w:t xml:space="preserve">Annex in addition to the </w:t>
      </w:r>
      <w:r>
        <w:t xml:space="preserve">specific order and delivery terms defined under each </w:t>
      </w:r>
      <w:r w:rsidR="00FE24A4">
        <w:t>Clause</w:t>
      </w:r>
      <w:r>
        <w:t xml:space="preserve"> in this Sub Annex.</w:t>
      </w:r>
    </w:p>
    <w:p w:rsidR="0095019D" w:rsidRPr="0095019D" w:rsidRDefault="0095019D" w:rsidP="0095019D"/>
    <w:p w:rsidR="00363A87" w:rsidRDefault="006B6996" w:rsidP="00761CEB">
      <w:pPr>
        <w:pStyle w:val="Heading1"/>
      </w:pPr>
      <w:bookmarkStart w:id="26" w:name="_Toc450895600"/>
      <w:r>
        <w:lastRenderedPageBreak/>
        <w:t>Tariff</w:t>
      </w:r>
      <w:bookmarkEnd w:id="26"/>
      <w:r w:rsidR="00363A87">
        <w:t xml:space="preserve"> </w:t>
      </w:r>
    </w:p>
    <w:p w:rsidR="00363A87" w:rsidRDefault="00363A87" w:rsidP="00A80162">
      <w:pPr>
        <w:pStyle w:val="ListParagraph"/>
      </w:pPr>
      <w:bookmarkStart w:id="27" w:name="_Toc268519287"/>
      <w:r w:rsidRPr="0070363B">
        <w:t xml:space="preserve">The </w:t>
      </w:r>
      <w:r>
        <w:t>up to date tariff</w:t>
      </w:r>
      <w:r w:rsidRPr="0070363B">
        <w:t xml:space="preserve"> </w:t>
      </w:r>
      <w:r>
        <w:t xml:space="preserve">for the </w:t>
      </w:r>
      <w:r w:rsidR="005A5501">
        <w:t>Service</w:t>
      </w:r>
      <w:r>
        <w:t>s can be found in Annex M</w:t>
      </w:r>
      <w:bookmarkEnd w:id="27"/>
      <w:r>
        <w:t>.</w:t>
      </w:r>
    </w:p>
    <w:p w:rsidR="00363A87" w:rsidRPr="00363A87" w:rsidRDefault="00363A87" w:rsidP="00FE24A4">
      <w:pPr>
        <w:pStyle w:val="ListParagraph"/>
      </w:pPr>
      <w:r>
        <w:t>The cost of additional product features, specialized billing, systems</w:t>
      </w:r>
      <w:r w:rsidR="005E1D8D">
        <w:t xml:space="preserve"> and/or network interfaces, non-</w:t>
      </w:r>
      <w:r>
        <w:t>standard connectivity and associated configuration, integration and testing are not included in the published tariffs. Such cases will be dealt with on a case-by-case basis against mutual agreed timelines and charges.</w:t>
      </w:r>
    </w:p>
    <w:p w:rsidR="00713F36" w:rsidRDefault="002F5687" w:rsidP="002F5687">
      <w:pPr>
        <w:pStyle w:val="Heading1"/>
      </w:pPr>
      <w:bookmarkStart w:id="28" w:name="_Toc450895601"/>
      <w:r>
        <w:lastRenderedPageBreak/>
        <w:t>Fault Management</w:t>
      </w:r>
      <w:bookmarkEnd w:id="28"/>
      <w:r>
        <w:t xml:space="preserve"> </w:t>
      </w:r>
    </w:p>
    <w:p w:rsidR="002F5687" w:rsidRPr="002F5687" w:rsidRDefault="002F5687" w:rsidP="001634D9">
      <w:pPr>
        <w:pStyle w:val="ListParagraph"/>
      </w:pPr>
      <w:r>
        <w:t xml:space="preserve">Fault Management </w:t>
      </w:r>
      <w:r w:rsidR="001634D9">
        <w:t xml:space="preserve">shall be </w:t>
      </w:r>
      <w:r>
        <w:t>handled according to Annex H.</w:t>
      </w:r>
    </w:p>
    <w:p w:rsidR="005A1696" w:rsidRDefault="005A1696" w:rsidP="005A1696"/>
    <w:p w:rsidR="005A1696" w:rsidRDefault="005A1696" w:rsidP="005A1696"/>
    <w:p w:rsidR="002F5687" w:rsidRDefault="002F5687" w:rsidP="00254BB7">
      <w:pPr>
        <w:pStyle w:val="Heading1"/>
      </w:pPr>
      <w:bookmarkStart w:id="29" w:name="_Toc326523171"/>
      <w:bookmarkStart w:id="30" w:name="_Toc450895602"/>
      <w:bookmarkStart w:id="31" w:name="_Ref416256275"/>
      <w:r w:rsidRPr="0040704D">
        <w:lastRenderedPageBreak/>
        <w:t>Forecasts</w:t>
      </w:r>
      <w:bookmarkEnd w:id="29"/>
      <w:bookmarkEnd w:id="30"/>
    </w:p>
    <w:p w:rsidR="002F5687" w:rsidRPr="00B80807" w:rsidRDefault="002F5687" w:rsidP="001634D9">
      <w:pPr>
        <w:pStyle w:val="ListParagraph"/>
        <w:rPr>
          <w:rFonts w:eastAsia="Calibri" w:cs="Helvetica"/>
        </w:rPr>
      </w:pPr>
      <w:r>
        <w:t xml:space="preserve">Forecasting </w:t>
      </w:r>
      <w:r w:rsidR="001634D9">
        <w:t xml:space="preserve">shall be </w:t>
      </w:r>
      <w:r>
        <w:t>handled according to Annex F.</w:t>
      </w:r>
      <w:bookmarkEnd w:id="31"/>
    </w:p>
    <w:sectPr w:rsidR="002F5687" w:rsidRPr="00B80807"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EE" w:rsidRDefault="00D038EE">
      <w:r>
        <w:separator/>
      </w:r>
    </w:p>
    <w:p w:rsidR="00D038EE" w:rsidRDefault="00D038EE"/>
  </w:endnote>
  <w:endnote w:type="continuationSeparator" w:id="0">
    <w:p w:rsidR="00D038EE" w:rsidRDefault="00D038EE">
      <w:r>
        <w:continuationSeparator/>
      </w:r>
    </w:p>
    <w:p w:rsidR="00D038EE" w:rsidRDefault="00D03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DF" w:rsidRDefault="00D038EE">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054ADF">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054ADF">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DF" w:rsidRDefault="00054ADF"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054ADF" w:rsidRPr="0081597A" w:rsidRDefault="00054ADF"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DF" w:rsidRDefault="00054ADF"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394D16" w:rsidRPr="002A3A70">
      <w:rPr>
        <w:sz w:val="16"/>
        <w:szCs w:val="16"/>
      </w:rPr>
      <w:fldChar w:fldCharType="begin"/>
    </w:r>
    <w:r w:rsidRPr="002A3A70">
      <w:rPr>
        <w:sz w:val="16"/>
        <w:szCs w:val="16"/>
      </w:rPr>
      <w:instrText xml:space="preserve"> PAGE </w:instrText>
    </w:r>
    <w:r w:rsidR="00394D16" w:rsidRPr="002A3A70">
      <w:rPr>
        <w:sz w:val="16"/>
        <w:szCs w:val="16"/>
      </w:rPr>
      <w:fldChar w:fldCharType="separate"/>
    </w:r>
    <w:r w:rsidR="00AF1A79">
      <w:rPr>
        <w:noProof/>
        <w:sz w:val="16"/>
        <w:szCs w:val="16"/>
      </w:rPr>
      <w:t>10</w:t>
    </w:r>
    <w:r w:rsidR="00394D16" w:rsidRPr="002A3A70">
      <w:rPr>
        <w:sz w:val="16"/>
        <w:szCs w:val="16"/>
      </w:rPr>
      <w:fldChar w:fldCharType="end"/>
    </w:r>
    <w:r w:rsidRPr="002A3A70">
      <w:rPr>
        <w:sz w:val="16"/>
        <w:szCs w:val="16"/>
      </w:rPr>
      <w:t xml:space="preserve"> of </w:t>
    </w:r>
    <w:r w:rsidR="00394D16" w:rsidRPr="002A3A70">
      <w:rPr>
        <w:sz w:val="16"/>
        <w:szCs w:val="16"/>
      </w:rPr>
      <w:fldChar w:fldCharType="begin"/>
    </w:r>
    <w:r w:rsidRPr="002A3A70">
      <w:rPr>
        <w:sz w:val="16"/>
        <w:szCs w:val="16"/>
      </w:rPr>
      <w:instrText xml:space="preserve"> NUMPAGES </w:instrText>
    </w:r>
    <w:r w:rsidR="00394D16" w:rsidRPr="002A3A70">
      <w:rPr>
        <w:sz w:val="16"/>
        <w:szCs w:val="16"/>
      </w:rPr>
      <w:fldChar w:fldCharType="separate"/>
    </w:r>
    <w:r w:rsidR="00AF1A79">
      <w:rPr>
        <w:noProof/>
        <w:sz w:val="16"/>
        <w:szCs w:val="16"/>
      </w:rPr>
      <w:t>15</w:t>
    </w:r>
    <w:r w:rsidR="00394D16" w:rsidRPr="002A3A70">
      <w:rPr>
        <w:sz w:val="16"/>
        <w:szCs w:val="16"/>
      </w:rPr>
      <w:fldChar w:fldCharType="end"/>
    </w:r>
  </w:p>
  <w:p w:rsidR="00054ADF" w:rsidRPr="002A3A70" w:rsidRDefault="00054ADF" w:rsidP="002A3A70">
    <w:pPr>
      <w:pStyle w:val="Footer"/>
      <w:tabs>
        <w:tab w:val="clear" w:pos="9700"/>
        <w:tab w:val="right" w:pos="10206"/>
      </w:tabs>
      <w:ind w:left="-993"/>
      <w:rPr>
        <w:sz w:val="16"/>
        <w:szCs w:val="16"/>
      </w:rPr>
    </w:pPr>
  </w:p>
  <w:p w:rsidR="00054ADF" w:rsidRDefault="00054ADF"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054ADF" w:rsidRPr="001C7F23" w:rsidRDefault="00054ADF"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DF" w:rsidRDefault="00054ADF" w:rsidP="0029357C">
    <w:pPr>
      <w:pStyle w:val="Footer"/>
    </w:pPr>
    <w:r>
      <w:t xml:space="preserve">&lt;Customer Name&gt; &lt;Customer Project Title&gt; </w:t>
    </w:r>
  </w:p>
  <w:p w:rsidR="00054ADF" w:rsidRDefault="00054ADF"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394D16">
      <w:fldChar w:fldCharType="begin"/>
    </w:r>
    <w:r>
      <w:instrText xml:space="preserve"> PAGE </w:instrText>
    </w:r>
    <w:r w:rsidR="00394D16">
      <w:fldChar w:fldCharType="separate"/>
    </w:r>
    <w:r>
      <w:rPr>
        <w:noProof/>
      </w:rPr>
      <w:t>3</w:t>
    </w:r>
    <w:r w:rsidR="00394D16">
      <w:fldChar w:fldCharType="end"/>
    </w:r>
    <w:r>
      <w:t xml:space="preserve"> of </w:t>
    </w:r>
    <w:fldSimple w:instr=" NUMPAGES ">
      <w:r>
        <w:rPr>
          <w:noProof/>
        </w:rPr>
        <w:t>3</w:t>
      </w:r>
    </w:fldSimple>
  </w:p>
  <w:p w:rsidR="00054ADF" w:rsidRPr="0081597A" w:rsidRDefault="00054ADF" w:rsidP="0029357C">
    <w:pPr>
      <w:pStyle w:val="Footer"/>
    </w:pPr>
  </w:p>
  <w:p w:rsidR="00054ADF" w:rsidRDefault="00054A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EE" w:rsidRDefault="00D038EE">
      <w:r>
        <w:separator/>
      </w:r>
    </w:p>
    <w:p w:rsidR="00D038EE" w:rsidRDefault="00D038EE"/>
  </w:footnote>
  <w:footnote w:type="continuationSeparator" w:id="0">
    <w:p w:rsidR="00D038EE" w:rsidRDefault="00D038EE">
      <w:r>
        <w:continuationSeparator/>
      </w:r>
    </w:p>
    <w:p w:rsidR="00D038EE" w:rsidRDefault="00D038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DF" w:rsidRPr="00506286" w:rsidRDefault="00054ADF">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DF" w:rsidRDefault="00054A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DF" w:rsidRDefault="00054ADF">
    <w:pPr>
      <w:rPr>
        <w:sz w:val="16"/>
        <w:szCs w:val="16"/>
      </w:rPr>
    </w:pPr>
  </w:p>
  <w:p w:rsidR="00054ADF" w:rsidRDefault="00054ADF" w:rsidP="00AF7DF4">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7A3EF0">
      <w:rPr>
        <w:sz w:val="16"/>
        <w:szCs w:val="16"/>
      </w:rPr>
      <w:t>ion</w:t>
    </w:r>
    <w:r>
      <w:rPr>
        <w:sz w:val="16"/>
        <w:szCs w:val="16"/>
      </w:rPr>
      <w:t xml:space="preserve"> Offer</w:t>
    </w:r>
  </w:p>
  <w:p w:rsidR="00054ADF" w:rsidRPr="006808BE" w:rsidRDefault="00054ADF" w:rsidP="00AF7DF4">
    <w:pPr>
      <w:rPr>
        <w:szCs w:val="18"/>
      </w:rPr>
    </w:pPr>
    <w:r>
      <w:rPr>
        <w:sz w:val="16"/>
        <w:szCs w:val="16"/>
      </w:rPr>
      <w:t>Sub Annex C-MI 01 _ Mobile A</w:t>
    </w:r>
    <w:r w:rsidRPr="00D94A07">
      <w:rPr>
        <w:sz w:val="16"/>
        <w:szCs w:val="16"/>
      </w:rPr>
      <w:t>ncillary Services</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DF" w:rsidRPr="006808BE" w:rsidRDefault="00054ADF" w:rsidP="0029357C">
    <w:pPr>
      <w:rPr>
        <w:szCs w:val="18"/>
      </w:rPr>
    </w:pPr>
  </w:p>
  <w:p w:rsidR="00054ADF" w:rsidRPr="00506286" w:rsidRDefault="00054ADF" w:rsidP="0029357C"/>
  <w:p w:rsidR="00054ADF" w:rsidRPr="00506286" w:rsidRDefault="00054ADF" w:rsidP="0029357C"/>
  <w:p w:rsidR="00054ADF" w:rsidRPr="00506286" w:rsidRDefault="00054ADF" w:rsidP="0029357C"/>
  <w:p w:rsidR="00054ADF" w:rsidRPr="00506286" w:rsidRDefault="00054ADF" w:rsidP="0029357C"/>
  <w:p w:rsidR="00054ADF" w:rsidRPr="00506286" w:rsidRDefault="00054ADF" w:rsidP="0029357C"/>
  <w:p w:rsidR="00054ADF" w:rsidRPr="00506286" w:rsidRDefault="00054ADF" w:rsidP="0029357C"/>
  <w:p w:rsidR="00054ADF" w:rsidRPr="00506286" w:rsidRDefault="00054ADF" w:rsidP="0029357C">
    <w:pPr>
      <w:rPr>
        <w:rStyle w:val="PageNumber"/>
      </w:rPr>
    </w:pPr>
  </w:p>
  <w:p w:rsidR="00054ADF" w:rsidRPr="00506286" w:rsidRDefault="00054ADF">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054ADF" w:rsidRDefault="00054A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9530B87"/>
    <w:multiLevelType w:val="multilevel"/>
    <w:tmpl w:val="D3F61A0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50DD7192"/>
    <w:multiLevelType w:val="multilevel"/>
    <w:tmpl w:val="FEACB40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8E342A8"/>
    <w:multiLevelType w:val="multilevel"/>
    <w:tmpl w:val="FC8A008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num>
  <w:num w:numId="40">
    <w:abstractNumId w:val="5"/>
  </w:num>
  <w:num w:numId="41">
    <w:abstractNumId w:val="5"/>
  </w:num>
  <w:num w:numId="42">
    <w:abstractNumId w:val="5"/>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5"/>
  </w:num>
  <w:num w:numId="52">
    <w:abstractNumId w:val="5"/>
  </w:num>
  <w:num w:numId="53">
    <w:abstractNumId w:val="5"/>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5"/>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5"/>
  </w:num>
  <w:num w:numId="62">
    <w:abstractNumId w:val="5"/>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6333"/>
    <w:rsid w:val="00015F3B"/>
    <w:rsid w:val="000209E2"/>
    <w:rsid w:val="00031F96"/>
    <w:rsid w:val="00047CF7"/>
    <w:rsid w:val="000507AA"/>
    <w:rsid w:val="00054ADF"/>
    <w:rsid w:val="00065F27"/>
    <w:rsid w:val="00074CA2"/>
    <w:rsid w:val="0007746C"/>
    <w:rsid w:val="000A251E"/>
    <w:rsid w:val="000A6E58"/>
    <w:rsid w:val="000D0671"/>
    <w:rsid w:val="000D1689"/>
    <w:rsid w:val="000D400E"/>
    <w:rsid w:val="000E2E90"/>
    <w:rsid w:val="00110BD4"/>
    <w:rsid w:val="001314F8"/>
    <w:rsid w:val="0013768D"/>
    <w:rsid w:val="00144294"/>
    <w:rsid w:val="00144E8C"/>
    <w:rsid w:val="00150BF5"/>
    <w:rsid w:val="0015144E"/>
    <w:rsid w:val="00154B0D"/>
    <w:rsid w:val="00156A6B"/>
    <w:rsid w:val="00161AED"/>
    <w:rsid w:val="001634D9"/>
    <w:rsid w:val="00167596"/>
    <w:rsid w:val="0017244E"/>
    <w:rsid w:val="00173738"/>
    <w:rsid w:val="001857F4"/>
    <w:rsid w:val="00193E45"/>
    <w:rsid w:val="001A3F64"/>
    <w:rsid w:val="001C5CEB"/>
    <w:rsid w:val="001D1951"/>
    <w:rsid w:val="001F5C26"/>
    <w:rsid w:val="00214A64"/>
    <w:rsid w:val="002201C9"/>
    <w:rsid w:val="00230308"/>
    <w:rsid w:val="00247511"/>
    <w:rsid w:val="00254BB7"/>
    <w:rsid w:val="00263724"/>
    <w:rsid w:val="002674EC"/>
    <w:rsid w:val="00286218"/>
    <w:rsid w:val="0029357C"/>
    <w:rsid w:val="002A187C"/>
    <w:rsid w:val="002A3A70"/>
    <w:rsid w:val="002B1E3A"/>
    <w:rsid w:val="002B4563"/>
    <w:rsid w:val="002C4C55"/>
    <w:rsid w:val="002C7C5B"/>
    <w:rsid w:val="002E1CCE"/>
    <w:rsid w:val="002F236D"/>
    <w:rsid w:val="002F5687"/>
    <w:rsid w:val="00312D45"/>
    <w:rsid w:val="0031714B"/>
    <w:rsid w:val="00325582"/>
    <w:rsid w:val="003311EF"/>
    <w:rsid w:val="003412BD"/>
    <w:rsid w:val="00363A87"/>
    <w:rsid w:val="00365A18"/>
    <w:rsid w:val="00373518"/>
    <w:rsid w:val="00383EA5"/>
    <w:rsid w:val="00384DA8"/>
    <w:rsid w:val="00394D16"/>
    <w:rsid w:val="003B1EBE"/>
    <w:rsid w:val="003C7A9A"/>
    <w:rsid w:val="003E0D40"/>
    <w:rsid w:val="003E2AEF"/>
    <w:rsid w:val="003E7E7E"/>
    <w:rsid w:val="003F41F3"/>
    <w:rsid w:val="003F722C"/>
    <w:rsid w:val="00404C9D"/>
    <w:rsid w:val="00411C84"/>
    <w:rsid w:val="00420813"/>
    <w:rsid w:val="00425B19"/>
    <w:rsid w:val="00431CB3"/>
    <w:rsid w:val="004324BA"/>
    <w:rsid w:val="00434042"/>
    <w:rsid w:val="00441C8F"/>
    <w:rsid w:val="004670C6"/>
    <w:rsid w:val="004754F9"/>
    <w:rsid w:val="00476264"/>
    <w:rsid w:val="004A3A69"/>
    <w:rsid w:val="004B6C9C"/>
    <w:rsid w:val="004D465C"/>
    <w:rsid w:val="004D5576"/>
    <w:rsid w:val="004E1484"/>
    <w:rsid w:val="004E22C5"/>
    <w:rsid w:val="004F614F"/>
    <w:rsid w:val="00500333"/>
    <w:rsid w:val="00513A96"/>
    <w:rsid w:val="00513C67"/>
    <w:rsid w:val="00517912"/>
    <w:rsid w:val="00552234"/>
    <w:rsid w:val="005739C9"/>
    <w:rsid w:val="00581FA7"/>
    <w:rsid w:val="005A1696"/>
    <w:rsid w:val="005A5501"/>
    <w:rsid w:val="005A6581"/>
    <w:rsid w:val="005A6991"/>
    <w:rsid w:val="005C5D42"/>
    <w:rsid w:val="005D0F5C"/>
    <w:rsid w:val="005D2457"/>
    <w:rsid w:val="005E1D8D"/>
    <w:rsid w:val="005E55A6"/>
    <w:rsid w:val="005F297D"/>
    <w:rsid w:val="005F32C6"/>
    <w:rsid w:val="00615395"/>
    <w:rsid w:val="006205FD"/>
    <w:rsid w:val="00624B01"/>
    <w:rsid w:val="006275EC"/>
    <w:rsid w:val="0064689C"/>
    <w:rsid w:val="00653575"/>
    <w:rsid w:val="0066499B"/>
    <w:rsid w:val="006709C4"/>
    <w:rsid w:val="00670F62"/>
    <w:rsid w:val="00685976"/>
    <w:rsid w:val="00685D17"/>
    <w:rsid w:val="006B3630"/>
    <w:rsid w:val="006B6996"/>
    <w:rsid w:val="006C0A21"/>
    <w:rsid w:val="006C3038"/>
    <w:rsid w:val="006E6C22"/>
    <w:rsid w:val="00713F36"/>
    <w:rsid w:val="007260A3"/>
    <w:rsid w:val="00730686"/>
    <w:rsid w:val="007326A4"/>
    <w:rsid w:val="00737C1A"/>
    <w:rsid w:val="0074771A"/>
    <w:rsid w:val="0075553D"/>
    <w:rsid w:val="00761CEB"/>
    <w:rsid w:val="007635D7"/>
    <w:rsid w:val="0076471C"/>
    <w:rsid w:val="00785CA0"/>
    <w:rsid w:val="007A3EF0"/>
    <w:rsid w:val="007A5964"/>
    <w:rsid w:val="007B1BED"/>
    <w:rsid w:val="007B6217"/>
    <w:rsid w:val="007C05C8"/>
    <w:rsid w:val="007C2ADE"/>
    <w:rsid w:val="007D5E26"/>
    <w:rsid w:val="007F281E"/>
    <w:rsid w:val="0080454F"/>
    <w:rsid w:val="00811ACB"/>
    <w:rsid w:val="00820520"/>
    <w:rsid w:val="00822BA3"/>
    <w:rsid w:val="00832C79"/>
    <w:rsid w:val="0084086E"/>
    <w:rsid w:val="008439F9"/>
    <w:rsid w:val="00846C14"/>
    <w:rsid w:val="00847E57"/>
    <w:rsid w:val="00853D9F"/>
    <w:rsid w:val="00861173"/>
    <w:rsid w:val="00865DDE"/>
    <w:rsid w:val="0088017B"/>
    <w:rsid w:val="008A0ABC"/>
    <w:rsid w:val="008B0ED4"/>
    <w:rsid w:val="008B11BE"/>
    <w:rsid w:val="008B45CA"/>
    <w:rsid w:val="008B6FB2"/>
    <w:rsid w:val="008D26CF"/>
    <w:rsid w:val="008E1191"/>
    <w:rsid w:val="008E4B60"/>
    <w:rsid w:val="008F7F64"/>
    <w:rsid w:val="00901C0A"/>
    <w:rsid w:val="00925399"/>
    <w:rsid w:val="00927CE6"/>
    <w:rsid w:val="0095019D"/>
    <w:rsid w:val="00973BA8"/>
    <w:rsid w:val="00984832"/>
    <w:rsid w:val="0098721F"/>
    <w:rsid w:val="009B2585"/>
    <w:rsid w:val="009E7642"/>
    <w:rsid w:val="00A34748"/>
    <w:rsid w:val="00A45BC6"/>
    <w:rsid w:val="00A56846"/>
    <w:rsid w:val="00A56DC9"/>
    <w:rsid w:val="00A77981"/>
    <w:rsid w:val="00A77C31"/>
    <w:rsid w:val="00A80162"/>
    <w:rsid w:val="00A816F9"/>
    <w:rsid w:val="00A835FF"/>
    <w:rsid w:val="00A91C9C"/>
    <w:rsid w:val="00AB4963"/>
    <w:rsid w:val="00AF1A79"/>
    <w:rsid w:val="00AF7DF4"/>
    <w:rsid w:val="00B04545"/>
    <w:rsid w:val="00B04CB0"/>
    <w:rsid w:val="00B0717F"/>
    <w:rsid w:val="00B146DA"/>
    <w:rsid w:val="00B22396"/>
    <w:rsid w:val="00B24A70"/>
    <w:rsid w:val="00B24F05"/>
    <w:rsid w:val="00B329E3"/>
    <w:rsid w:val="00B46F53"/>
    <w:rsid w:val="00B57A80"/>
    <w:rsid w:val="00B736A7"/>
    <w:rsid w:val="00B94D42"/>
    <w:rsid w:val="00BB42D9"/>
    <w:rsid w:val="00BE6F38"/>
    <w:rsid w:val="00C15EED"/>
    <w:rsid w:val="00C205A5"/>
    <w:rsid w:val="00C3679C"/>
    <w:rsid w:val="00C55A42"/>
    <w:rsid w:val="00C74840"/>
    <w:rsid w:val="00C82C34"/>
    <w:rsid w:val="00CA4CE1"/>
    <w:rsid w:val="00CC65AD"/>
    <w:rsid w:val="00CC7E52"/>
    <w:rsid w:val="00CF0DDF"/>
    <w:rsid w:val="00CF3E22"/>
    <w:rsid w:val="00D03410"/>
    <w:rsid w:val="00D038EE"/>
    <w:rsid w:val="00D039CD"/>
    <w:rsid w:val="00D065D0"/>
    <w:rsid w:val="00D27C76"/>
    <w:rsid w:val="00D32813"/>
    <w:rsid w:val="00D52BFC"/>
    <w:rsid w:val="00D56C06"/>
    <w:rsid w:val="00D56F9A"/>
    <w:rsid w:val="00D63DD6"/>
    <w:rsid w:val="00D84159"/>
    <w:rsid w:val="00D91928"/>
    <w:rsid w:val="00D94A07"/>
    <w:rsid w:val="00DB01B6"/>
    <w:rsid w:val="00DC40DF"/>
    <w:rsid w:val="00E122A1"/>
    <w:rsid w:val="00E33973"/>
    <w:rsid w:val="00E36469"/>
    <w:rsid w:val="00E53CDC"/>
    <w:rsid w:val="00E5662A"/>
    <w:rsid w:val="00E658D3"/>
    <w:rsid w:val="00E71655"/>
    <w:rsid w:val="00E820DE"/>
    <w:rsid w:val="00E8470D"/>
    <w:rsid w:val="00E86810"/>
    <w:rsid w:val="00EA310F"/>
    <w:rsid w:val="00EB3E25"/>
    <w:rsid w:val="00EB635D"/>
    <w:rsid w:val="00EC4D4D"/>
    <w:rsid w:val="00ED0E75"/>
    <w:rsid w:val="00EE005E"/>
    <w:rsid w:val="00EE542E"/>
    <w:rsid w:val="00EF4F49"/>
    <w:rsid w:val="00F06FED"/>
    <w:rsid w:val="00F13DBC"/>
    <w:rsid w:val="00F23D55"/>
    <w:rsid w:val="00F2549C"/>
    <w:rsid w:val="00F27AD2"/>
    <w:rsid w:val="00F63839"/>
    <w:rsid w:val="00F652B0"/>
    <w:rsid w:val="00F96E75"/>
    <w:rsid w:val="00FA143C"/>
    <w:rsid w:val="00FA67D2"/>
    <w:rsid w:val="00FB064D"/>
    <w:rsid w:val="00FB23D3"/>
    <w:rsid w:val="00FB4D6E"/>
    <w:rsid w:val="00FD1619"/>
    <w:rsid w:val="00FD7F51"/>
    <w:rsid w:val="00FE24A4"/>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DB6855AF-1269-4E68-A863-644CA941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imes New Roman" w:hAnsi="Helvetica" w:cs="Helvetica"/>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214A64"/>
    <w:pPr>
      <w:pageBreakBefore/>
      <w:numPr>
        <w:numId w:val="1"/>
      </w:numPr>
      <w:spacing w:before="600" w:after="360" w:line="240" w:lineRule="auto"/>
      <w:outlineLvl w:val="0"/>
    </w:pPr>
    <w:rPr>
      <w:rFonts w:eastAsia="Times"/>
      <w:color w:val="4A93D1"/>
      <w:kern w:val="32"/>
      <w:sz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865DDE"/>
    <w:pPr>
      <w:numPr>
        <w:ilvl w:val="1"/>
        <w:numId w:val="1"/>
      </w:numPr>
      <w:spacing w:before="240" w:line="360" w:lineRule="auto"/>
      <w:mirrorIndents/>
      <w:jc w:val="both"/>
    </w:pPr>
    <w:rPr>
      <w:rFonts w:cs="Arial"/>
      <w:kern w:val="16"/>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1A3F64"/>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865DDE"/>
    <w:rPr>
      <w:rFonts w:ascii="Helvetica" w:hAnsi="Helvetica" w:cs="Arial"/>
      <w:kern w:val="16"/>
      <w:sz w:val="22"/>
      <w:szCs w:val="24"/>
    </w:rPr>
  </w:style>
  <w:style w:type="character" w:customStyle="1" w:styleId="ListParagraph2Char">
    <w:name w:val="List Paragraph2 Char"/>
    <w:basedOn w:val="ListParagraphChar"/>
    <w:link w:val="ListParagraph2"/>
    <w:rsid w:val="001A3F64"/>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047CF7"/>
    <w:pPr>
      <w:numPr>
        <w:numId w:val="8"/>
      </w:numPr>
      <w:spacing w:before="120" w:after="120" w:line="360" w:lineRule="auto"/>
    </w:pPr>
  </w:style>
  <w:style w:type="character" w:customStyle="1" w:styleId="listParagraphaChar">
    <w:name w:val="list Paragraph (a) Char"/>
    <w:basedOn w:val="DefaultParagraphFont"/>
    <w:link w:val="listParagrapha"/>
    <w:rsid w:val="00047CF7"/>
    <w:rPr>
      <w:rFonts w:ascii="Helvetica" w:hAnsi="Helvetica"/>
      <w:sz w:val="22"/>
      <w:szCs w:val="22"/>
      <w:lang w:val="en-GB"/>
    </w:rPr>
  </w:style>
  <w:style w:type="character" w:customStyle="1" w:styleId="FormatmallRubrik3FetChar">
    <w:name w:val="Formatmall Rubrik 3 + Fet Char"/>
    <w:basedOn w:val="DefaultParagraphFont"/>
    <w:rsid w:val="00384DA8"/>
    <w:rPr>
      <w:rFonts w:ascii="Arial" w:hAnsi="Arial" w:cs="Arial"/>
      <w:b/>
      <w:bCs/>
      <w:snapToGrid w:val="0"/>
      <w:szCs w:val="26"/>
      <w:lang w:val="en-GB" w:eastAsia="sv-SE" w:bidi="ar-SA"/>
    </w:rPr>
  </w:style>
  <w:style w:type="character" w:styleId="CommentReference">
    <w:name w:val="annotation reference"/>
    <w:basedOn w:val="DefaultParagraphFont"/>
    <w:semiHidden/>
    <w:unhideWhenUsed/>
    <w:rsid w:val="006C0A21"/>
    <w:rPr>
      <w:sz w:val="16"/>
      <w:szCs w:val="16"/>
    </w:rPr>
  </w:style>
  <w:style w:type="paragraph" w:styleId="CommentText">
    <w:name w:val="annotation text"/>
    <w:basedOn w:val="Normal"/>
    <w:link w:val="CommentTextChar"/>
    <w:semiHidden/>
    <w:unhideWhenUsed/>
    <w:rsid w:val="006C0A21"/>
    <w:pPr>
      <w:spacing w:line="240" w:lineRule="auto"/>
    </w:pPr>
    <w:rPr>
      <w:sz w:val="20"/>
      <w:szCs w:val="20"/>
    </w:rPr>
  </w:style>
  <w:style w:type="character" w:customStyle="1" w:styleId="CommentTextChar">
    <w:name w:val="Comment Text Char"/>
    <w:basedOn w:val="DefaultParagraphFont"/>
    <w:link w:val="CommentText"/>
    <w:semiHidden/>
    <w:rsid w:val="006C0A21"/>
    <w:rPr>
      <w:sz w:val="20"/>
      <w:szCs w:val="20"/>
    </w:rPr>
  </w:style>
  <w:style w:type="paragraph" w:styleId="CommentSubject">
    <w:name w:val="annotation subject"/>
    <w:basedOn w:val="CommentText"/>
    <w:next w:val="CommentText"/>
    <w:link w:val="CommentSubjectChar"/>
    <w:semiHidden/>
    <w:unhideWhenUsed/>
    <w:rsid w:val="006C0A21"/>
    <w:rPr>
      <w:b/>
      <w:bCs/>
    </w:rPr>
  </w:style>
  <w:style w:type="character" w:customStyle="1" w:styleId="CommentSubjectChar">
    <w:name w:val="Comment Subject Char"/>
    <w:basedOn w:val="CommentTextChar"/>
    <w:link w:val="CommentSubject"/>
    <w:semiHidden/>
    <w:rsid w:val="006C0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F0B53A-64E3-4365-9402-39CDD32F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TotalTime>
  <Pages>15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9805</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9</cp:revision>
  <cp:lastPrinted>2011-07-10T09:34:00Z</cp:lastPrinted>
  <dcterms:created xsi:type="dcterms:W3CDTF">2016-05-26T10:28:00Z</dcterms:created>
  <dcterms:modified xsi:type="dcterms:W3CDTF">2016-05-28T11:41:00Z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