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7C" w:rsidRPr="00A70C58" w:rsidRDefault="00CF6342"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w:pict w14:anchorId="0385B031">
          <v:shapetype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fArwIAAKo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OMBG2hRQ9sMOhWDmhhq9N3OgGn+w7czADb0GWXqe7uZPFdIyHXNRU7dqOU7GtGS2AX2Jv+s6sj&#10;jrYg2/6TLCEM3RvpgIZKtbZ0UAwE6NClx1NnLJUCNqMoWswJHBVwFkSXJCaOnU+T6XqntPnAZIus&#10;kWIFrXfw9HCnjaVDk8nFRhMy503j2t+IFxvgOO5AcLhqzywN182nmMSb5WYZeuEs2nghyTLvJl+H&#10;XpQHi3l2ma3XWfDLxg3CpOZlyYQNMykrCP+sc0eNj5o4aUvLhpcWzlLSarddNwodKCg7d58rOpyc&#10;3fyXNFwRIJdXKQWzkNzOYi+PlgsvzMO5Fy/I0iNBfBtHJIzDLH+Z0h0X7N9TQn2K4/lsPqrpTPpV&#10;bsR9b3OjScsNzI6GtylenpxoYjW4EaVrraG8Ge1npbD0z6WAdk+Ndoq1Ih3laobtAChWxltZPoJ2&#10;lQRlgQph4IFRS/UTox6GR4r1jz1VDKPmowD920kzGWoytpNBRQFXU2wwGs21GSfSvlN8VwPy+MKE&#10;vIE3UnGn3jOL48uCgeCSOA4vO3Ge/zuv84hd/Q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sg9HwK8CAACqBQAADgAA&#10;AAAAAAAAAAAAAAAuAgAAZHJzL2Uyb0RvYy54bWxQSwECLQAUAAYACAAAACEAfelU698AAAALAQAA&#10;DwAAAAAAAAAAAAAAAAAJBQAAZHJzL2Rvd25yZXYueG1sUEsFBgAAAAAEAAQA8wAAABUGAAAAAA==&#10;" o:allowoverlap="f" filled="f" stroked="f">
            <v:textbox inset="0,0,0,0">
              <w:txbxContent>
                <w:p w:rsidR="004E7854" w:rsidRPr="00822BA3" w:rsidRDefault="004E785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4E7854" w:rsidRPr="00822BA3" w:rsidRDefault="004E7854" w:rsidP="000C0980">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 xml:space="preserve"> Annex L Definintions</w:t>
                  </w:r>
                </w:p>
              </w:txbxContent>
            </v:textbox>
            <w10:wrap type="tight" anchorx="page" anchory="page"/>
          </v:shape>
        </w:pict>
      </w:r>
    </w:p>
    <w:p w:rsidR="003F41F3" w:rsidRPr="00F2549C" w:rsidRDefault="00607956">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0C0980">
        <w:rPr>
          <w:color w:val="4A93D1"/>
          <w:sz w:val="32"/>
          <w:szCs w:val="32"/>
          <w:u w:val="single"/>
        </w:rPr>
        <w:t>s</w:t>
      </w:r>
    </w:p>
    <w:p w:rsidR="003F41F3" w:rsidRDefault="003F41F3">
      <w:pPr>
        <w:spacing w:after="0" w:line="240" w:lineRule="auto"/>
        <w:rPr>
          <w:rFonts w:eastAsia="Times"/>
          <w:kern w:val="32"/>
          <w:sz w:val="24"/>
        </w:rPr>
      </w:pPr>
    </w:p>
    <w:p w:rsidR="0053159E" w:rsidRDefault="00DC074A">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52294286" w:history="1">
        <w:r w:rsidR="0053159E" w:rsidRPr="003A3652">
          <w:rPr>
            <w:rStyle w:val="Hyperlink"/>
          </w:rPr>
          <w:t>1</w:t>
        </w:r>
        <w:r w:rsidR="0053159E">
          <w:rPr>
            <w:rFonts w:asciiTheme="minorHAnsi" w:eastAsiaTheme="minorEastAsia" w:hAnsiTheme="minorHAnsi" w:cstheme="minorBidi"/>
            <w:b w:val="0"/>
            <w:color w:val="auto"/>
            <w:sz w:val="22"/>
            <w:szCs w:val="22"/>
          </w:rPr>
          <w:tab/>
        </w:r>
        <w:r w:rsidR="0053159E" w:rsidRPr="003A3652">
          <w:rPr>
            <w:rStyle w:val="Hyperlink"/>
          </w:rPr>
          <w:t>General</w:t>
        </w:r>
        <w:r w:rsidR="0053159E">
          <w:rPr>
            <w:webHidden/>
          </w:rPr>
          <w:tab/>
        </w:r>
        <w:r w:rsidR="0053159E">
          <w:rPr>
            <w:webHidden/>
          </w:rPr>
          <w:fldChar w:fldCharType="begin"/>
        </w:r>
        <w:r w:rsidR="0053159E">
          <w:rPr>
            <w:webHidden/>
          </w:rPr>
          <w:instrText xml:space="preserve"> PAGEREF _Toc452294286 \h </w:instrText>
        </w:r>
        <w:r w:rsidR="0053159E">
          <w:rPr>
            <w:webHidden/>
          </w:rPr>
        </w:r>
        <w:r w:rsidR="0053159E">
          <w:rPr>
            <w:webHidden/>
          </w:rPr>
          <w:fldChar w:fldCharType="separate"/>
        </w:r>
        <w:r w:rsidR="00752FB7">
          <w:rPr>
            <w:webHidden/>
          </w:rPr>
          <w:t>3</w:t>
        </w:r>
        <w:r w:rsidR="0053159E">
          <w:rPr>
            <w:webHidden/>
          </w:rPr>
          <w:fldChar w:fldCharType="end"/>
        </w:r>
      </w:hyperlink>
    </w:p>
    <w:p w:rsidR="0053159E" w:rsidRDefault="0053159E">
      <w:pPr>
        <w:pStyle w:val="TOC1"/>
        <w:rPr>
          <w:rFonts w:asciiTheme="minorHAnsi" w:eastAsiaTheme="minorEastAsia" w:hAnsiTheme="minorHAnsi" w:cstheme="minorBidi"/>
          <w:b w:val="0"/>
          <w:color w:val="auto"/>
          <w:sz w:val="22"/>
          <w:szCs w:val="22"/>
        </w:rPr>
      </w:pPr>
      <w:hyperlink w:anchor="_Toc452294287" w:history="1">
        <w:r w:rsidRPr="003A3652">
          <w:rPr>
            <w:rStyle w:val="Hyperlink"/>
          </w:rPr>
          <w:t>2</w:t>
        </w:r>
        <w:r>
          <w:rPr>
            <w:rFonts w:asciiTheme="minorHAnsi" w:eastAsiaTheme="minorEastAsia" w:hAnsiTheme="minorHAnsi" w:cstheme="minorBidi"/>
            <w:b w:val="0"/>
            <w:color w:val="auto"/>
            <w:sz w:val="22"/>
            <w:szCs w:val="22"/>
          </w:rPr>
          <w:tab/>
        </w:r>
        <w:r w:rsidRPr="003A3652">
          <w:rPr>
            <w:rStyle w:val="Hyperlink"/>
          </w:rPr>
          <w:t>List of Abbreviations</w:t>
        </w:r>
        <w:r>
          <w:rPr>
            <w:webHidden/>
          </w:rPr>
          <w:tab/>
        </w:r>
        <w:r>
          <w:rPr>
            <w:webHidden/>
          </w:rPr>
          <w:fldChar w:fldCharType="begin"/>
        </w:r>
        <w:r>
          <w:rPr>
            <w:webHidden/>
          </w:rPr>
          <w:instrText xml:space="preserve"> PAGEREF _Toc452294287 \h </w:instrText>
        </w:r>
        <w:r>
          <w:rPr>
            <w:webHidden/>
          </w:rPr>
        </w:r>
        <w:r>
          <w:rPr>
            <w:webHidden/>
          </w:rPr>
          <w:fldChar w:fldCharType="separate"/>
        </w:r>
        <w:r w:rsidR="00752FB7">
          <w:rPr>
            <w:webHidden/>
          </w:rPr>
          <w:t>4</w:t>
        </w:r>
        <w:r>
          <w:rPr>
            <w:webHidden/>
          </w:rPr>
          <w:fldChar w:fldCharType="end"/>
        </w:r>
      </w:hyperlink>
    </w:p>
    <w:p w:rsidR="0053159E" w:rsidRDefault="0053159E">
      <w:pPr>
        <w:pStyle w:val="TOC1"/>
        <w:rPr>
          <w:rFonts w:asciiTheme="minorHAnsi" w:eastAsiaTheme="minorEastAsia" w:hAnsiTheme="minorHAnsi" w:cstheme="minorBidi"/>
          <w:b w:val="0"/>
          <w:color w:val="auto"/>
          <w:sz w:val="22"/>
          <w:szCs w:val="22"/>
        </w:rPr>
      </w:pPr>
      <w:hyperlink w:anchor="_Toc452294288" w:history="1">
        <w:r w:rsidRPr="003A3652">
          <w:rPr>
            <w:rStyle w:val="Hyperlink"/>
          </w:rPr>
          <w:t>3</w:t>
        </w:r>
        <w:r>
          <w:rPr>
            <w:rFonts w:asciiTheme="minorHAnsi" w:eastAsiaTheme="minorEastAsia" w:hAnsiTheme="minorHAnsi" w:cstheme="minorBidi"/>
            <w:b w:val="0"/>
            <w:color w:val="auto"/>
            <w:sz w:val="22"/>
            <w:szCs w:val="22"/>
          </w:rPr>
          <w:tab/>
        </w:r>
        <w:r w:rsidRPr="003A3652">
          <w:rPr>
            <w:rStyle w:val="Hyperlink"/>
          </w:rPr>
          <w:t>List of Definitions</w:t>
        </w:r>
        <w:r>
          <w:rPr>
            <w:webHidden/>
          </w:rPr>
          <w:tab/>
        </w:r>
        <w:r>
          <w:rPr>
            <w:webHidden/>
          </w:rPr>
          <w:fldChar w:fldCharType="begin"/>
        </w:r>
        <w:r>
          <w:rPr>
            <w:webHidden/>
          </w:rPr>
          <w:instrText xml:space="preserve"> PAGEREF _Toc452294288 \h </w:instrText>
        </w:r>
        <w:r>
          <w:rPr>
            <w:webHidden/>
          </w:rPr>
        </w:r>
        <w:r>
          <w:rPr>
            <w:webHidden/>
          </w:rPr>
          <w:fldChar w:fldCharType="separate"/>
        </w:r>
        <w:r w:rsidR="00752FB7">
          <w:rPr>
            <w:webHidden/>
          </w:rPr>
          <w:t>6</w:t>
        </w:r>
        <w:r>
          <w:rPr>
            <w:webHidden/>
          </w:rPr>
          <w:fldChar w:fldCharType="end"/>
        </w:r>
      </w:hyperlink>
    </w:p>
    <w:p w:rsidR="0029357C" w:rsidRDefault="00DC074A" w:rsidP="00325582">
      <w:pPr>
        <w:pStyle w:val="IndexTOC"/>
        <w:tabs>
          <w:tab w:val="right" w:pos="8805"/>
          <w:tab w:val="right" w:leader="dot" w:pos="9000"/>
        </w:tabs>
        <w:spacing w:after="120"/>
        <w:ind w:right="1886"/>
        <w:rPr>
          <w:color w:val="000000"/>
        </w:rPr>
      </w:pPr>
      <w:r w:rsidRPr="00325582">
        <w:rPr>
          <w:bCs/>
          <w:color w:val="000000"/>
        </w:rPr>
        <w:fldChar w:fldCharType="end"/>
      </w:r>
      <w:bookmarkStart w:id="0" w:name="_GoBack"/>
      <w:bookmarkEnd w:id="0"/>
    </w:p>
    <w:p w:rsidR="00EA310F" w:rsidRDefault="00EA310F" w:rsidP="002542BD">
      <w:pPr>
        <w:pStyle w:val="Heading1"/>
      </w:pPr>
      <w:bookmarkStart w:id="1" w:name="_Toc452294286"/>
      <w:r>
        <w:lastRenderedPageBreak/>
        <w:t>General</w:t>
      </w:r>
      <w:bookmarkEnd w:id="1"/>
      <w:r>
        <w:t xml:space="preserve"> </w:t>
      </w:r>
    </w:p>
    <w:p w:rsidR="00257AE9" w:rsidRPr="00031D1C" w:rsidRDefault="000C0980" w:rsidP="004E7854">
      <w:pPr>
        <w:pStyle w:val="ListParagraph"/>
      </w:pPr>
      <w:r w:rsidRPr="007B2D4D">
        <w:t>This Annex lists the abbreviations and terms used in th</w:t>
      </w:r>
      <w:r>
        <w:t xml:space="preserve">e </w:t>
      </w:r>
      <w:r w:rsidR="004E7854">
        <w:t>Access and Interconnection</w:t>
      </w:r>
      <w:r>
        <w:t xml:space="preserve"> </w:t>
      </w:r>
      <w:r w:rsidRPr="007B2D4D">
        <w:t>Agreement</w:t>
      </w:r>
      <w:r w:rsidR="004E7854">
        <w:t>.</w:t>
      </w:r>
      <w:r w:rsidRPr="00035614">
        <w:t xml:space="preserve"> </w:t>
      </w: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96263D">
      <w:pPr>
        <w:pStyle w:val="ListParagraph2"/>
        <w:numPr>
          <w:ilvl w:val="0"/>
          <w:numId w:val="0"/>
        </w:numPr>
        <w:ind w:left="864"/>
      </w:pPr>
    </w:p>
    <w:p w:rsidR="00257AE9" w:rsidRDefault="000536DE" w:rsidP="000536DE">
      <w:pPr>
        <w:pStyle w:val="Heading1"/>
      </w:pPr>
      <w:bookmarkStart w:id="2" w:name="_Toc452294287"/>
      <w:r>
        <w:lastRenderedPageBreak/>
        <w:t>List of Abbreviations</w:t>
      </w:r>
      <w:bookmarkEnd w:id="2"/>
    </w:p>
    <w:tbl>
      <w:tblPr>
        <w:tblStyle w:val="TableGridLight2"/>
        <w:tblW w:w="8730" w:type="dxa"/>
        <w:tblInd w:w="715" w:type="dxa"/>
        <w:tblLayout w:type="fixed"/>
        <w:tblLook w:val="04A0" w:firstRow="1" w:lastRow="0" w:firstColumn="1" w:lastColumn="0" w:noHBand="0" w:noVBand="1"/>
      </w:tblPr>
      <w:tblGrid>
        <w:gridCol w:w="1980"/>
        <w:gridCol w:w="6750"/>
      </w:tblGrid>
      <w:tr w:rsidR="000536DE" w:rsidRPr="00C55A42" w:rsidTr="009571E9">
        <w:trPr>
          <w:trHeight w:val="571"/>
          <w:tblHeader/>
        </w:trPr>
        <w:tc>
          <w:tcPr>
            <w:tcW w:w="1980" w:type="dxa"/>
            <w:shd w:val="clear" w:color="auto" w:fill="115DA9"/>
            <w:vAlign w:val="center"/>
          </w:tcPr>
          <w:p w:rsidR="000536DE" w:rsidRPr="00C55A42" w:rsidRDefault="000536DE" w:rsidP="000536DE">
            <w:pPr>
              <w:pStyle w:val="Table"/>
              <w:jc w:val="left"/>
              <w:rPr>
                <w:b/>
                <w:bCs/>
                <w:color w:val="FFFFFF" w:themeColor="background1"/>
                <w:sz w:val="22"/>
                <w:szCs w:val="22"/>
              </w:rPr>
            </w:pPr>
            <w:r>
              <w:rPr>
                <w:b/>
                <w:bCs/>
                <w:color w:val="FFFFFF" w:themeColor="background1"/>
                <w:sz w:val="22"/>
                <w:szCs w:val="22"/>
              </w:rPr>
              <w:t>Abbreviation</w:t>
            </w:r>
          </w:p>
        </w:tc>
        <w:tc>
          <w:tcPr>
            <w:tcW w:w="6750" w:type="dxa"/>
            <w:shd w:val="clear" w:color="auto" w:fill="115DA9"/>
            <w:vAlign w:val="center"/>
          </w:tcPr>
          <w:p w:rsidR="000536DE" w:rsidRPr="00C55A42" w:rsidRDefault="000536DE" w:rsidP="000536DE">
            <w:pPr>
              <w:pStyle w:val="Table"/>
              <w:jc w:val="left"/>
              <w:rPr>
                <w:b/>
                <w:bCs/>
                <w:color w:val="FFFFFF" w:themeColor="background1"/>
                <w:sz w:val="22"/>
                <w:szCs w:val="22"/>
              </w:rPr>
            </w:pPr>
            <w:r>
              <w:rPr>
                <w:b/>
                <w:bCs/>
                <w:color w:val="FFFFFF" w:themeColor="background1"/>
                <w:sz w:val="22"/>
                <w:szCs w:val="22"/>
              </w:rPr>
              <w:t>Definition</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AO</w:t>
            </w:r>
          </w:p>
        </w:tc>
        <w:tc>
          <w:tcPr>
            <w:tcW w:w="6750" w:type="dxa"/>
            <w:vAlign w:val="center"/>
          </w:tcPr>
          <w:p w:rsidR="000536DE" w:rsidRPr="00AF48B7" w:rsidRDefault="000536DE" w:rsidP="000536DE">
            <w:pPr>
              <w:widowControl w:val="0"/>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Acceptance of Order</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AR</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Acceptance of Request</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CD</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Completion of Delivery</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CDR</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Call Detail Record</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CLI</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 xml:space="preserve">Calling line identification </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CLIP</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Calling line identification presentation</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CLIR</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Calling line identification restriction</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DDD</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Delivery Due Date</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DDF</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Digital Distribution Frame</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DOO</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Delivery Order Offer</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DRO</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 xml:space="preserve">Delivery Request Offer </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E1</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2 Mbit/s transmission</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GMP1</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Primary Switch in Greater Muttrah</w:t>
            </w:r>
          </w:p>
        </w:tc>
      </w:tr>
      <w:tr w:rsidR="000536DE" w:rsidRPr="00C55A42" w:rsidTr="009571E9">
        <w:trPr>
          <w:trHeight w:val="535"/>
        </w:trPr>
        <w:tc>
          <w:tcPr>
            <w:tcW w:w="1980" w:type="dxa"/>
            <w:vAlign w:val="center"/>
          </w:tcPr>
          <w:p w:rsidR="000536DE"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GPRS</w:t>
            </w:r>
          </w:p>
        </w:tc>
        <w:tc>
          <w:tcPr>
            <w:tcW w:w="6750" w:type="dxa"/>
            <w:vAlign w:val="center"/>
          </w:tcPr>
          <w:p w:rsidR="000536DE" w:rsidRPr="001D561C"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General Packet Radio S</w:t>
            </w:r>
            <w:r w:rsidRPr="001D561C">
              <w:rPr>
                <w:rFonts w:eastAsiaTheme="majorEastAsia"/>
                <w:bCs/>
                <w:snapToGrid w:val="0"/>
                <w:sz w:val="22"/>
                <w:szCs w:val="22"/>
              </w:rPr>
              <w:t>ervice</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HLR</w:t>
            </w:r>
          </w:p>
        </w:tc>
        <w:tc>
          <w:tcPr>
            <w:tcW w:w="6750" w:type="dxa"/>
            <w:vAlign w:val="center"/>
          </w:tcPr>
          <w:p w:rsidR="000536DE" w:rsidRPr="00AF48B7" w:rsidDel="00574000" w:rsidRDefault="000536DE" w:rsidP="000536DE">
            <w:pPr>
              <w:spacing w:before="100" w:beforeAutospacing="1" w:after="100" w:afterAutospacing="1" w:line="240" w:lineRule="auto"/>
              <w:rPr>
                <w:rFonts w:eastAsiaTheme="majorEastAsia"/>
                <w:bCs/>
                <w:snapToGrid w:val="0"/>
                <w:sz w:val="22"/>
                <w:szCs w:val="22"/>
              </w:rPr>
            </w:pPr>
            <w:r w:rsidRPr="001D561C">
              <w:rPr>
                <w:rFonts w:eastAsiaTheme="majorEastAsia"/>
                <w:bCs/>
                <w:snapToGrid w:val="0"/>
                <w:sz w:val="22"/>
                <w:szCs w:val="22"/>
              </w:rPr>
              <w:t>Home Location Register</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IMSI</w:t>
            </w:r>
          </w:p>
        </w:tc>
        <w:tc>
          <w:tcPr>
            <w:tcW w:w="6750" w:type="dxa"/>
            <w:vAlign w:val="center"/>
          </w:tcPr>
          <w:p w:rsidR="000536DE" w:rsidRPr="00AF48B7" w:rsidDel="00574000" w:rsidRDefault="000536DE" w:rsidP="000536DE">
            <w:pPr>
              <w:spacing w:before="100" w:beforeAutospacing="1" w:after="100" w:afterAutospacing="1" w:line="240" w:lineRule="auto"/>
              <w:rPr>
                <w:rFonts w:eastAsiaTheme="majorEastAsia"/>
                <w:bCs/>
                <w:snapToGrid w:val="0"/>
                <w:sz w:val="22"/>
                <w:szCs w:val="22"/>
              </w:rPr>
            </w:pPr>
            <w:r w:rsidRPr="001D561C">
              <w:rPr>
                <w:rFonts w:eastAsiaTheme="majorEastAsia"/>
                <w:bCs/>
                <w:snapToGrid w:val="0"/>
                <w:sz w:val="22"/>
                <w:szCs w:val="22"/>
              </w:rPr>
              <w:t>International Mobile Subscriber Identity</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ISC1</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International Switch in Greater Muttrah</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ISC2</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International Switch in Muscat</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IP</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Internet Protocol</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lastRenderedPageBreak/>
              <w:t>MDF</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Main Distribution Frame</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MMS</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Multimedia Message Service</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NCD</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Notification of Non-compliance of Delivery</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ND</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Notification of Delivery</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NIZ1</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Primary Switch in Nizwa</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OA</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Order Acknowledgement</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POI</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 xml:space="preserve">Point of </w:t>
            </w:r>
            <w:r>
              <w:rPr>
                <w:rFonts w:eastAsiaTheme="majorEastAsia"/>
                <w:bCs/>
                <w:snapToGrid w:val="0"/>
                <w:sz w:val="22"/>
                <w:szCs w:val="22"/>
              </w:rPr>
              <w:t>I</w:t>
            </w:r>
            <w:r w:rsidRPr="00AF48B7">
              <w:rPr>
                <w:rFonts w:eastAsiaTheme="majorEastAsia"/>
                <w:bCs/>
                <w:snapToGrid w:val="0"/>
                <w:sz w:val="22"/>
                <w:szCs w:val="22"/>
              </w:rPr>
              <w:t>nterconnection</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POP</w:t>
            </w:r>
          </w:p>
        </w:tc>
        <w:tc>
          <w:tcPr>
            <w:tcW w:w="6750" w:type="dxa"/>
            <w:vAlign w:val="center"/>
          </w:tcPr>
          <w:p w:rsidR="000536DE" w:rsidRPr="00AF48B7" w:rsidDel="00574000"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Point of Presence</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QUR2</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Primary Switch in Qurum</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RA</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Request Acknowledgement</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SAL2</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Primary Switch in Salalah</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SMS</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Short Message Service</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SO</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Submission of Order</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SOH2</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Primary Switch in Sohar</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SR</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Submission of Request</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STP</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Signaling Transfer Points</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STP1</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Signaling Transfer Point in Ghala</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STP2</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Providing Party</w:t>
            </w:r>
            <w:r w:rsidRPr="00AF48B7">
              <w:rPr>
                <w:rFonts w:eastAsiaTheme="majorEastAsia"/>
                <w:bCs/>
                <w:snapToGrid w:val="0"/>
                <w:sz w:val="22"/>
                <w:szCs w:val="22"/>
              </w:rPr>
              <w:t xml:space="preserve"> Signaling Transfer Point in Qurum</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TAP</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Pr>
                <w:rFonts w:eastAsiaTheme="majorEastAsia"/>
                <w:bCs/>
                <w:snapToGrid w:val="0"/>
                <w:sz w:val="22"/>
                <w:szCs w:val="22"/>
              </w:rPr>
              <w:t>Transferred Account Procedure</w:t>
            </w:r>
          </w:p>
        </w:tc>
      </w:tr>
      <w:tr w:rsidR="000536DE" w:rsidRPr="00C55A42" w:rsidTr="009571E9">
        <w:trPr>
          <w:trHeight w:val="535"/>
        </w:trPr>
        <w:tc>
          <w:tcPr>
            <w:tcW w:w="198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TRA</w:t>
            </w:r>
          </w:p>
        </w:tc>
        <w:tc>
          <w:tcPr>
            <w:tcW w:w="6750" w:type="dxa"/>
            <w:vAlign w:val="center"/>
          </w:tcPr>
          <w:p w:rsidR="000536DE" w:rsidRPr="00AF48B7" w:rsidRDefault="000536DE" w:rsidP="000536DE">
            <w:pPr>
              <w:spacing w:before="100" w:beforeAutospacing="1" w:after="100" w:afterAutospacing="1" w:line="240" w:lineRule="auto"/>
              <w:rPr>
                <w:rFonts w:eastAsiaTheme="majorEastAsia"/>
                <w:bCs/>
                <w:snapToGrid w:val="0"/>
                <w:sz w:val="22"/>
                <w:szCs w:val="22"/>
              </w:rPr>
            </w:pPr>
            <w:r w:rsidRPr="00AF48B7">
              <w:rPr>
                <w:rFonts w:eastAsiaTheme="majorEastAsia"/>
                <w:bCs/>
                <w:snapToGrid w:val="0"/>
                <w:sz w:val="22"/>
                <w:szCs w:val="22"/>
              </w:rPr>
              <w:t>Telecommunications Regulatory Authority</w:t>
            </w:r>
          </w:p>
        </w:tc>
      </w:tr>
    </w:tbl>
    <w:p w:rsidR="000536DE" w:rsidRDefault="000536DE" w:rsidP="000536DE">
      <w:pPr>
        <w:pStyle w:val="ListParagraph"/>
        <w:numPr>
          <w:ilvl w:val="0"/>
          <w:numId w:val="0"/>
        </w:numPr>
        <w:ind w:left="864"/>
      </w:pPr>
    </w:p>
    <w:p w:rsidR="00E568AD" w:rsidRDefault="000536DE" w:rsidP="000536DE">
      <w:pPr>
        <w:pStyle w:val="Heading1"/>
      </w:pPr>
      <w:bookmarkStart w:id="3" w:name="_Toc452294288"/>
      <w:r>
        <w:lastRenderedPageBreak/>
        <w:t>List of Definitions</w:t>
      </w:r>
      <w:bookmarkEnd w:id="3"/>
    </w:p>
    <w:tbl>
      <w:tblPr>
        <w:tblStyle w:val="TableGridLight2"/>
        <w:tblW w:w="8730" w:type="dxa"/>
        <w:tblLayout w:type="fixed"/>
        <w:tblLook w:val="04A0" w:firstRow="1" w:lastRow="0" w:firstColumn="1" w:lastColumn="0" w:noHBand="0" w:noVBand="1"/>
      </w:tblPr>
      <w:tblGrid>
        <w:gridCol w:w="2700"/>
        <w:gridCol w:w="6030"/>
      </w:tblGrid>
      <w:tr w:rsidR="000536DE" w:rsidRPr="00C55A42" w:rsidTr="005E7CC7">
        <w:trPr>
          <w:trHeight w:val="571"/>
          <w:tblHeader/>
        </w:trPr>
        <w:tc>
          <w:tcPr>
            <w:tcW w:w="2700" w:type="dxa"/>
            <w:shd w:val="clear" w:color="auto" w:fill="115DA9"/>
            <w:vAlign w:val="center"/>
          </w:tcPr>
          <w:p w:rsidR="000536DE" w:rsidRPr="00C55A42" w:rsidRDefault="000536DE" w:rsidP="00D25137">
            <w:pPr>
              <w:pStyle w:val="Table"/>
              <w:spacing w:before="120" w:beforeAutospacing="0" w:after="120" w:afterAutospacing="0"/>
              <w:rPr>
                <w:b/>
                <w:bCs/>
                <w:color w:val="FFFFFF" w:themeColor="background1"/>
                <w:sz w:val="22"/>
                <w:szCs w:val="22"/>
              </w:rPr>
            </w:pPr>
            <w:r>
              <w:rPr>
                <w:b/>
                <w:bCs/>
                <w:color w:val="FFFFFF" w:themeColor="background1"/>
                <w:sz w:val="22"/>
                <w:szCs w:val="22"/>
              </w:rPr>
              <w:t xml:space="preserve">Terminology </w:t>
            </w:r>
          </w:p>
        </w:tc>
        <w:tc>
          <w:tcPr>
            <w:tcW w:w="6030" w:type="dxa"/>
            <w:shd w:val="clear" w:color="auto" w:fill="115DA9"/>
            <w:vAlign w:val="center"/>
          </w:tcPr>
          <w:p w:rsidR="000536DE" w:rsidRPr="00C55A42" w:rsidRDefault="000536DE" w:rsidP="00D25137">
            <w:pPr>
              <w:pStyle w:val="Table"/>
              <w:spacing w:before="120" w:beforeAutospacing="0" w:after="120" w:afterAutospacing="0"/>
              <w:rPr>
                <w:b/>
                <w:bCs/>
                <w:color w:val="FFFFFF" w:themeColor="background1"/>
                <w:sz w:val="22"/>
                <w:szCs w:val="22"/>
              </w:rPr>
            </w:pPr>
            <w:r>
              <w:rPr>
                <w:b/>
                <w:bCs/>
                <w:color w:val="FFFFFF" w:themeColor="background1"/>
                <w:sz w:val="22"/>
                <w:szCs w:val="22"/>
              </w:rPr>
              <w:t>Definition</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2 Mbit/s Leased Line</w:t>
            </w:r>
          </w:p>
        </w:tc>
        <w:tc>
          <w:tcPr>
            <w:tcW w:w="6030" w:type="dxa"/>
            <w:vAlign w:val="center"/>
          </w:tcPr>
          <w:p w:rsidR="000536DE" w:rsidRPr="005C3563" w:rsidRDefault="000536DE" w:rsidP="00D25137">
            <w:pPr>
              <w:spacing w:before="120" w:after="120" w:line="240" w:lineRule="auto"/>
              <w:rPr>
                <w:rFonts w:eastAsia="Calibri" w:cs="Arial"/>
                <w:sz w:val="22"/>
                <w:szCs w:val="22"/>
              </w:rPr>
            </w:pPr>
            <w:r>
              <w:rPr>
                <w:rFonts w:eastAsia="Calibri" w:cs="Arial"/>
                <w:sz w:val="22"/>
                <w:szCs w:val="22"/>
              </w:rPr>
              <w:t>Providing Party</w:t>
            </w:r>
            <w:r w:rsidRPr="005C3563">
              <w:rPr>
                <w:rFonts w:eastAsia="Calibri" w:cs="Arial"/>
                <w:sz w:val="22"/>
                <w:szCs w:val="22"/>
              </w:rPr>
              <w:t xml:space="preserve"> 2 Mbit/s transmission element used to provide a part of the link from a Point of Connection.</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Acceptance of Order</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w:t>
            </w:r>
            <w:r>
              <w:rPr>
                <w:rFonts w:eastAsia="Calibri" w:cs="Arial"/>
                <w:sz w:val="22"/>
                <w:szCs w:val="22"/>
              </w:rPr>
              <w:t xml:space="preserve">cceptance </w:t>
            </w:r>
            <w:r w:rsidRPr="005C3563">
              <w:rPr>
                <w:rFonts w:eastAsia="Calibri" w:cs="Arial"/>
                <w:sz w:val="22"/>
                <w:szCs w:val="22"/>
              </w:rPr>
              <w:t xml:space="preserve">by the </w:t>
            </w:r>
            <w:r>
              <w:rPr>
                <w:rFonts w:eastAsia="Calibri" w:cs="Arial"/>
                <w:sz w:val="22"/>
                <w:szCs w:val="22"/>
              </w:rPr>
              <w:t>Requesting Party</w:t>
            </w:r>
            <w:r w:rsidRPr="005C3563">
              <w:rPr>
                <w:rFonts w:eastAsia="Calibri" w:cs="Arial"/>
                <w:sz w:val="22"/>
                <w:szCs w:val="22"/>
              </w:rPr>
              <w:t>, signed Delivery Order Offer and is considered to be a binding agreement by the parties.</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Acceptance of Request</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w:t>
            </w:r>
            <w:r>
              <w:rPr>
                <w:rFonts w:eastAsia="Calibri" w:cs="Arial"/>
                <w:sz w:val="22"/>
                <w:szCs w:val="22"/>
              </w:rPr>
              <w:t>cceptance</w:t>
            </w:r>
            <w:r w:rsidRPr="005C3563">
              <w:rPr>
                <w:rFonts w:eastAsia="Calibri" w:cs="Arial"/>
                <w:sz w:val="22"/>
                <w:szCs w:val="22"/>
              </w:rPr>
              <w:t xml:space="preserve"> by the </w:t>
            </w:r>
            <w:r>
              <w:rPr>
                <w:rFonts w:eastAsia="Calibri" w:cs="Arial"/>
                <w:sz w:val="22"/>
                <w:szCs w:val="22"/>
              </w:rPr>
              <w:t>Requesting Party</w:t>
            </w:r>
            <w:r w:rsidRPr="005C3563">
              <w:rPr>
                <w:rFonts w:eastAsia="Calibri" w:cs="Arial"/>
                <w:sz w:val="22"/>
                <w:szCs w:val="22"/>
              </w:rPr>
              <w:t>, signed Delivery Request Offer and is considered to be a binding agreement by the parties.</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 xml:space="preserve">Access and Interconnection </w:t>
            </w:r>
            <w:r w:rsidRPr="00F53F06">
              <w:rPr>
                <w:rFonts w:eastAsia="Calibri" w:cs="Arial"/>
                <w:sz w:val="22"/>
                <w:szCs w:val="22"/>
              </w:rPr>
              <w:t>Agreement</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The agreement between </w:t>
            </w:r>
            <w:r>
              <w:rPr>
                <w:rFonts w:eastAsia="Calibri" w:cs="Arial"/>
                <w:sz w:val="22"/>
                <w:szCs w:val="22"/>
              </w:rPr>
              <w:t>Providing Party</w:t>
            </w:r>
            <w:r w:rsidRPr="00F53F06">
              <w:rPr>
                <w:rFonts w:eastAsia="Calibri" w:cs="Arial"/>
                <w:sz w:val="22"/>
                <w:szCs w:val="22"/>
              </w:rPr>
              <w:t xml:space="preserve"> and the </w:t>
            </w:r>
            <w:r>
              <w:rPr>
                <w:rFonts w:eastAsia="Calibri" w:cs="Arial"/>
                <w:sz w:val="22"/>
                <w:szCs w:val="22"/>
              </w:rPr>
              <w:t>Requesting Party</w:t>
            </w:r>
            <w:r w:rsidRPr="00F53F06">
              <w:rPr>
                <w:rFonts w:eastAsia="Calibri" w:cs="Arial"/>
                <w:sz w:val="22"/>
                <w:szCs w:val="22"/>
              </w:rPr>
              <w:t xml:space="preserve"> for the purposes of </w:t>
            </w:r>
            <w:r>
              <w:rPr>
                <w:rFonts w:eastAsia="Calibri" w:cs="Arial"/>
                <w:sz w:val="22"/>
                <w:szCs w:val="22"/>
              </w:rPr>
              <w:t xml:space="preserve">Access and </w:t>
            </w:r>
            <w:r w:rsidRPr="00F53F06">
              <w:rPr>
                <w:rFonts w:eastAsia="Calibri" w:cs="Arial"/>
                <w:sz w:val="22"/>
                <w:szCs w:val="22"/>
              </w:rPr>
              <w:t xml:space="preserve">Interconnection which shall include the main body of this Interconnection Agreement, the Annexes and Sub-Annexes thereto as defined in </w:t>
            </w:r>
            <w:r w:rsidR="00A146B8">
              <w:rPr>
                <w:rFonts w:eastAsia="Calibri" w:cs="Arial"/>
                <w:sz w:val="22"/>
                <w:szCs w:val="22"/>
              </w:rPr>
              <w:t>Clause</w:t>
            </w:r>
            <w:r w:rsidRPr="00F53F06">
              <w:rPr>
                <w:rFonts w:eastAsia="Calibri" w:cs="Arial"/>
                <w:sz w:val="22"/>
                <w:szCs w:val="22"/>
              </w:rPr>
              <w:t xml:space="preserve"> 3 of </w:t>
            </w:r>
            <w:r w:rsidRPr="00F53F06" w:rsidDel="001D561C">
              <w:rPr>
                <w:rFonts w:eastAsia="Calibri" w:cs="Arial"/>
                <w:sz w:val="22"/>
                <w:szCs w:val="22"/>
              </w:rPr>
              <w:t xml:space="preserve"> </w:t>
            </w:r>
            <w:r w:rsidRPr="00F53F06">
              <w:rPr>
                <w:rFonts w:eastAsia="Calibri" w:cs="Arial"/>
                <w:sz w:val="22"/>
                <w:szCs w:val="22"/>
              </w:rPr>
              <w:t xml:space="preserve">Annex A. </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Access Provider</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 xml:space="preserve">Is any licensee who offers or provides wholesale </w:t>
            </w:r>
            <w:r>
              <w:rPr>
                <w:rFonts w:eastAsia="Calibri" w:cs="Arial"/>
                <w:sz w:val="22"/>
                <w:szCs w:val="22"/>
              </w:rPr>
              <w:t>A</w:t>
            </w:r>
            <w:r w:rsidRPr="005C3563">
              <w:rPr>
                <w:rFonts w:eastAsia="Calibri" w:cs="Arial"/>
                <w:sz w:val="22"/>
                <w:szCs w:val="22"/>
              </w:rPr>
              <w:t>ccess</w:t>
            </w:r>
            <w:r>
              <w:rPr>
                <w:rFonts w:eastAsia="Calibri" w:cs="Arial"/>
                <w:sz w:val="22"/>
                <w:szCs w:val="22"/>
              </w:rPr>
              <w:t xml:space="preserve"> and</w:t>
            </w:r>
            <w:r w:rsidRPr="005C3563">
              <w:rPr>
                <w:rFonts w:eastAsia="Calibri" w:cs="Arial"/>
                <w:sz w:val="22"/>
                <w:szCs w:val="22"/>
              </w:rPr>
              <w:t xml:space="preserve"> </w:t>
            </w:r>
            <w:r>
              <w:rPr>
                <w:rFonts w:eastAsia="Calibri" w:cs="Arial"/>
                <w:sz w:val="22"/>
                <w:szCs w:val="22"/>
              </w:rPr>
              <w:t xml:space="preserve">Interconnection </w:t>
            </w:r>
            <w:proofErr w:type="gramStart"/>
            <w:r>
              <w:rPr>
                <w:rFonts w:eastAsia="Calibri" w:cs="Arial"/>
                <w:sz w:val="22"/>
                <w:szCs w:val="22"/>
              </w:rPr>
              <w:t>S</w:t>
            </w:r>
            <w:r w:rsidRPr="005C3563">
              <w:rPr>
                <w:rFonts w:eastAsia="Calibri" w:cs="Arial"/>
                <w:sz w:val="22"/>
                <w:szCs w:val="22"/>
              </w:rPr>
              <w:t>ervices.</w:t>
            </w:r>
            <w:proofErr w:type="gramEnd"/>
            <w:r w:rsidRPr="005C3563">
              <w:rPr>
                <w:rFonts w:eastAsia="Calibri" w:cs="Arial"/>
                <w:sz w:val="22"/>
                <w:szCs w:val="22"/>
              </w:rPr>
              <w:t xml:space="preserve"> In </w:t>
            </w:r>
            <w:r>
              <w:rPr>
                <w:rFonts w:eastAsia="Calibri" w:cs="Arial"/>
                <w:sz w:val="22"/>
                <w:szCs w:val="22"/>
              </w:rPr>
              <w:t xml:space="preserve">this Agreement, </w:t>
            </w:r>
            <w:r w:rsidRPr="005C3563">
              <w:rPr>
                <w:rFonts w:eastAsia="Calibri" w:cs="Arial"/>
                <w:sz w:val="22"/>
                <w:szCs w:val="22"/>
              </w:rPr>
              <w:t xml:space="preserve">it refers to </w:t>
            </w:r>
            <w:r>
              <w:rPr>
                <w:rFonts w:eastAsia="Calibri" w:cs="Arial"/>
                <w:sz w:val="22"/>
                <w:szCs w:val="22"/>
              </w:rPr>
              <w:t>Providing Party</w:t>
            </w:r>
            <w:r w:rsidRPr="005C3563">
              <w:rPr>
                <w:rFonts w:eastAsia="Calibri" w:cs="Arial"/>
                <w:sz w:val="22"/>
                <w:szCs w:val="22"/>
              </w:rPr>
              <w:t>.</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Access Provider Exchange</w:t>
            </w:r>
          </w:p>
        </w:tc>
        <w:tc>
          <w:tcPr>
            <w:tcW w:w="6030" w:type="dxa"/>
            <w:vAlign w:val="center"/>
          </w:tcPr>
          <w:p w:rsidR="000536DE" w:rsidRPr="005C3563" w:rsidRDefault="004A4C66" w:rsidP="00D25137">
            <w:pPr>
              <w:spacing w:before="120" w:after="120" w:line="240" w:lineRule="auto"/>
              <w:rPr>
                <w:rFonts w:eastAsia="Calibri" w:cs="Arial"/>
                <w:sz w:val="22"/>
                <w:szCs w:val="22"/>
              </w:rPr>
            </w:pPr>
            <w:r>
              <w:rPr>
                <w:rFonts w:eastAsia="Calibri" w:cs="Arial"/>
                <w:sz w:val="22"/>
                <w:szCs w:val="22"/>
              </w:rPr>
              <w:t>A</w:t>
            </w:r>
            <w:r w:rsidR="000536DE" w:rsidRPr="005C3563">
              <w:rPr>
                <w:rFonts w:eastAsia="Calibri" w:cs="Arial"/>
                <w:sz w:val="22"/>
                <w:szCs w:val="22"/>
              </w:rPr>
              <w:t>n exchange which has the required access equipment installed to provide the access service.</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Access Seeker</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 xml:space="preserve">Is the licensee who requests or leases an Access </w:t>
            </w:r>
            <w:r>
              <w:rPr>
                <w:rFonts w:eastAsia="Calibri" w:cs="Arial"/>
                <w:sz w:val="22"/>
                <w:szCs w:val="22"/>
              </w:rPr>
              <w:t xml:space="preserve">and Interconnection </w:t>
            </w:r>
            <w:proofErr w:type="gramStart"/>
            <w:r w:rsidRPr="005C3563">
              <w:rPr>
                <w:rFonts w:eastAsia="Calibri" w:cs="Arial"/>
                <w:sz w:val="22"/>
                <w:szCs w:val="22"/>
              </w:rPr>
              <w:t>Service.</w:t>
            </w:r>
            <w:proofErr w:type="gramEnd"/>
            <w:r w:rsidRPr="005C3563">
              <w:rPr>
                <w:rFonts w:eastAsia="Calibri" w:cs="Arial"/>
                <w:sz w:val="22"/>
                <w:szCs w:val="22"/>
              </w:rPr>
              <w:t xml:space="preserve"> In </w:t>
            </w:r>
            <w:r>
              <w:rPr>
                <w:rFonts w:eastAsia="Calibri" w:cs="Arial"/>
                <w:sz w:val="22"/>
                <w:szCs w:val="22"/>
              </w:rPr>
              <w:t xml:space="preserve">this Agreement, </w:t>
            </w:r>
            <w:r w:rsidRPr="005C3563">
              <w:rPr>
                <w:rFonts w:eastAsia="Calibri" w:cs="Arial"/>
                <w:sz w:val="22"/>
                <w:szCs w:val="22"/>
              </w:rPr>
              <w:t xml:space="preserve">it refers to </w:t>
            </w:r>
            <w:r>
              <w:rPr>
                <w:rFonts w:eastAsia="Calibri" w:cs="Arial"/>
                <w:sz w:val="22"/>
                <w:szCs w:val="22"/>
              </w:rPr>
              <w:t>Requesting Party</w:t>
            </w:r>
            <w:r w:rsidRPr="005C3563">
              <w:rPr>
                <w:rFonts w:eastAsia="Calibri" w:cs="Arial"/>
                <w:sz w:val="22"/>
                <w:szCs w:val="22"/>
              </w:rPr>
              <w:t>.</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Actual Date of Delivery</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The date on which a</w:t>
            </w:r>
            <w:r>
              <w:rPr>
                <w:rFonts w:eastAsia="Calibri" w:cs="Arial"/>
                <w:sz w:val="22"/>
                <w:szCs w:val="22"/>
              </w:rPr>
              <w:t xml:space="preserve"> </w:t>
            </w:r>
            <w:r w:rsidR="004E7854">
              <w:rPr>
                <w:rFonts w:eastAsia="Calibri" w:cs="Arial"/>
                <w:sz w:val="22"/>
                <w:szCs w:val="22"/>
              </w:rPr>
              <w:t>S</w:t>
            </w:r>
            <w:r>
              <w:rPr>
                <w:rFonts w:eastAsia="Calibri" w:cs="Arial"/>
                <w:sz w:val="22"/>
                <w:szCs w:val="22"/>
              </w:rPr>
              <w:t>ervice actually come</w:t>
            </w:r>
            <w:r w:rsidR="004E7854">
              <w:rPr>
                <w:rFonts w:eastAsia="Calibri" w:cs="Arial"/>
                <w:sz w:val="22"/>
                <w:szCs w:val="22"/>
              </w:rPr>
              <w:t>s</w:t>
            </w:r>
            <w:r>
              <w:rPr>
                <w:rFonts w:eastAsia="Calibri" w:cs="Arial"/>
                <w:sz w:val="22"/>
                <w:szCs w:val="22"/>
              </w:rPr>
              <w:t xml:space="preserve"> into use.</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ADSL Link</w:t>
            </w:r>
          </w:p>
        </w:tc>
        <w:tc>
          <w:tcPr>
            <w:tcW w:w="6030" w:type="dxa"/>
            <w:vAlign w:val="center"/>
          </w:tcPr>
          <w:p w:rsidR="000536DE" w:rsidRPr="005C3563" w:rsidRDefault="004A4C66" w:rsidP="00D25137">
            <w:pPr>
              <w:spacing w:before="120" w:after="120" w:line="240" w:lineRule="auto"/>
              <w:rPr>
                <w:rFonts w:eastAsia="Calibri" w:cs="Arial"/>
                <w:sz w:val="22"/>
                <w:szCs w:val="22"/>
              </w:rPr>
            </w:pPr>
            <w:r>
              <w:rPr>
                <w:rFonts w:eastAsia="Calibri" w:cs="Arial"/>
                <w:sz w:val="22"/>
                <w:szCs w:val="22"/>
              </w:rPr>
              <w:t>T</w:t>
            </w:r>
            <w:r w:rsidR="000536DE" w:rsidRPr="005C3563">
              <w:rPr>
                <w:rFonts w:eastAsia="Calibri" w:cs="Arial"/>
                <w:sz w:val="22"/>
                <w:szCs w:val="22"/>
              </w:rPr>
              <w:t xml:space="preserve">he digital point-to-point communications between an End User premises and the </w:t>
            </w:r>
            <w:r w:rsidR="000536DE">
              <w:rPr>
                <w:rFonts w:eastAsia="Calibri" w:cs="Arial"/>
                <w:sz w:val="22"/>
                <w:szCs w:val="22"/>
              </w:rPr>
              <w:t>MSAN</w:t>
            </w:r>
            <w:r w:rsidR="000536DE" w:rsidRPr="005C3563">
              <w:rPr>
                <w:rFonts w:eastAsia="Calibri" w:cs="Arial"/>
                <w:sz w:val="22"/>
                <w:szCs w:val="22"/>
              </w:rPr>
              <w:t xml:space="preserve"> nearest to that End User premises.</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7018F1">
              <w:rPr>
                <w:rFonts w:eastAsia="Calibri" w:cs="Arial"/>
                <w:sz w:val="22"/>
                <w:szCs w:val="22"/>
              </w:rPr>
              <w:t>Affiliate</w:t>
            </w:r>
          </w:p>
        </w:tc>
        <w:tc>
          <w:tcPr>
            <w:tcW w:w="6030" w:type="dxa"/>
            <w:vAlign w:val="center"/>
          </w:tcPr>
          <w:p w:rsidR="000536DE" w:rsidRPr="005C3563" w:rsidRDefault="004A4C66" w:rsidP="00D25137">
            <w:pPr>
              <w:spacing w:before="120" w:after="120" w:line="240" w:lineRule="auto"/>
              <w:rPr>
                <w:rFonts w:eastAsia="Calibri" w:cs="Arial"/>
                <w:sz w:val="22"/>
                <w:szCs w:val="22"/>
              </w:rPr>
            </w:pPr>
            <w:r>
              <w:rPr>
                <w:rFonts w:eastAsia="Calibri" w:cs="Arial"/>
                <w:sz w:val="22"/>
                <w:szCs w:val="22"/>
              </w:rPr>
              <w:t>A</w:t>
            </w:r>
            <w:r w:rsidR="000536DE" w:rsidRPr="007018F1">
              <w:rPr>
                <w:rFonts w:eastAsia="Calibri" w:cs="Arial"/>
                <w:sz w:val="22"/>
                <w:szCs w:val="22"/>
              </w:rPr>
              <w:t xml:space="preserve">ny entity controlled by, in Control of or under common Control of a Party hereunder.  Control herein shall mean the beneficial ownership, directly or indirectly, of more than 50% of the voting rights of a company, or a corporate body or the ability to Control the composition or the decision of the Board of Directors or cause the direction of the management and policies of the company or the body </w:t>
            </w:r>
            <w:r w:rsidR="000536DE" w:rsidRPr="007018F1">
              <w:rPr>
                <w:rFonts w:eastAsia="Calibri" w:cs="Arial"/>
                <w:sz w:val="22"/>
                <w:szCs w:val="22"/>
              </w:rPr>
              <w:lastRenderedPageBreak/>
              <w:t>corporate</w:t>
            </w:r>
            <w:r w:rsidR="000536DE">
              <w:rPr>
                <w:rFonts w:eastAsia="Calibri" w:cs="Arial"/>
                <w:sz w:val="22"/>
                <w:szCs w:val="22"/>
              </w:rPr>
              <w:t>.</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lastRenderedPageBreak/>
              <w:t>Aggregation Link</w:t>
            </w:r>
          </w:p>
        </w:tc>
        <w:tc>
          <w:tcPr>
            <w:tcW w:w="6030" w:type="dxa"/>
            <w:vAlign w:val="center"/>
          </w:tcPr>
          <w:p w:rsidR="000536DE" w:rsidRPr="005C3563" w:rsidRDefault="004A4C66" w:rsidP="00D25137">
            <w:pPr>
              <w:spacing w:before="120" w:after="120" w:line="240" w:lineRule="auto"/>
              <w:rPr>
                <w:rFonts w:eastAsia="Calibri" w:cs="Arial"/>
                <w:sz w:val="22"/>
                <w:szCs w:val="22"/>
              </w:rPr>
            </w:pPr>
            <w:r>
              <w:rPr>
                <w:rFonts w:eastAsia="Calibri" w:cs="Arial"/>
                <w:sz w:val="22"/>
                <w:szCs w:val="22"/>
              </w:rPr>
              <w:t>T</w:t>
            </w:r>
            <w:r w:rsidR="000536DE" w:rsidRPr="005C3563">
              <w:rPr>
                <w:rFonts w:eastAsia="Calibri" w:cs="Arial"/>
                <w:sz w:val="22"/>
                <w:szCs w:val="22"/>
              </w:rPr>
              <w:t>he logical or physical link between an End User, via Access Provider aggregation point and Access Seeker’s Point of Presence (POP).</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Pr>
                <w:rFonts w:eastAsia="Calibri" w:cs="Arial"/>
                <w:sz w:val="22"/>
                <w:szCs w:val="22"/>
              </w:rPr>
              <w:t>Agreement</w:t>
            </w:r>
          </w:p>
        </w:tc>
        <w:tc>
          <w:tcPr>
            <w:tcW w:w="6030" w:type="dxa"/>
            <w:vAlign w:val="center"/>
          </w:tcPr>
          <w:p w:rsidR="000536DE" w:rsidRPr="005C3563" w:rsidRDefault="000536DE" w:rsidP="00D25137">
            <w:pPr>
              <w:spacing w:before="120" w:after="120" w:line="240" w:lineRule="auto"/>
              <w:rPr>
                <w:rFonts w:eastAsia="Calibri" w:cs="Arial"/>
                <w:sz w:val="22"/>
                <w:szCs w:val="22"/>
              </w:rPr>
            </w:pPr>
            <w:r>
              <w:rPr>
                <w:rFonts w:eastAsia="Calibri" w:cs="Arial"/>
                <w:sz w:val="22"/>
                <w:szCs w:val="22"/>
              </w:rPr>
              <w:t>T</w:t>
            </w:r>
            <w:r w:rsidRPr="00574000">
              <w:rPr>
                <w:rFonts w:eastAsia="Calibri" w:cs="Arial"/>
                <w:sz w:val="22"/>
                <w:szCs w:val="22"/>
              </w:rPr>
              <w:t xml:space="preserve">his agreement, including all its </w:t>
            </w:r>
            <w:r>
              <w:rPr>
                <w:rFonts w:eastAsia="Calibri" w:cs="Arial"/>
                <w:sz w:val="22"/>
                <w:szCs w:val="22"/>
              </w:rPr>
              <w:t>Annexes</w:t>
            </w:r>
            <w:r w:rsidRPr="00574000">
              <w:rPr>
                <w:rFonts w:eastAsia="Calibri" w:cs="Arial"/>
                <w:sz w:val="22"/>
                <w:szCs w:val="22"/>
              </w:rPr>
              <w:t xml:space="preserve"> and as amended, modified, varied, assigned, notated, supplemented</w:t>
            </w:r>
            <w:r>
              <w:rPr>
                <w:rFonts w:eastAsia="Calibri" w:cs="Arial"/>
                <w:sz w:val="22"/>
                <w:szCs w:val="22"/>
              </w:rPr>
              <w:t>, or replaced from time to time.</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Answer Signal</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The signal required by the call originating Network to indicate connection to the called party.</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Pr>
                <w:rFonts w:eastAsia="Calibri" w:cs="Arial"/>
                <w:sz w:val="22"/>
                <w:szCs w:val="22"/>
              </w:rPr>
              <w:t xml:space="preserve">Associate or </w:t>
            </w:r>
            <w:r w:rsidRPr="005C3563">
              <w:rPr>
                <w:rFonts w:eastAsia="Calibri" w:cs="Arial"/>
                <w:sz w:val="22"/>
                <w:szCs w:val="22"/>
              </w:rPr>
              <w:t>Associated Company</w:t>
            </w:r>
          </w:p>
          <w:p w:rsidR="000536DE" w:rsidRPr="005C3563" w:rsidRDefault="000536DE" w:rsidP="00D25137">
            <w:pPr>
              <w:spacing w:before="120" w:after="120" w:line="240" w:lineRule="auto"/>
              <w:rPr>
                <w:rFonts w:eastAsia="Calibri" w:cs="Arial"/>
                <w:sz w:val="22"/>
                <w:szCs w:val="22"/>
              </w:rPr>
            </w:pP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 xml:space="preserve">Is a Subsidiary and Holding Company of such Party, the terms Subsidiary and Holding Company having the meanings ascribed thereto in the Omani Company Legislation Act or any subsidiary of any such Holding </w:t>
            </w:r>
            <w:proofErr w:type="gramStart"/>
            <w:r w:rsidRPr="005C3563">
              <w:rPr>
                <w:rFonts w:eastAsia="Calibri" w:cs="Arial"/>
                <w:sz w:val="22"/>
                <w:szCs w:val="22"/>
              </w:rPr>
              <w:t>Company.</w:t>
            </w:r>
            <w:proofErr w:type="gramEnd"/>
          </w:p>
        </w:tc>
      </w:tr>
      <w:tr w:rsidR="000536DE" w:rsidRPr="00D3312D"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Available Space</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 xml:space="preserve">The space intended for collocation </w:t>
            </w:r>
            <w:r>
              <w:rPr>
                <w:rFonts w:eastAsia="Calibri" w:cs="Arial"/>
                <w:sz w:val="22"/>
                <w:szCs w:val="22"/>
              </w:rPr>
              <w:t xml:space="preserve">excluding the </w:t>
            </w:r>
            <w:r w:rsidRPr="005C3563">
              <w:rPr>
                <w:rFonts w:eastAsia="Calibri" w:cs="Arial"/>
                <w:sz w:val="22"/>
                <w:szCs w:val="22"/>
              </w:rPr>
              <w:t>collocated space and reserved space.</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Pr>
                <w:rFonts w:eastAsia="Calibri" w:cs="Arial"/>
                <w:sz w:val="22"/>
                <w:szCs w:val="22"/>
              </w:rPr>
              <w:t>Billed Party</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ED0C8B">
              <w:rPr>
                <w:rFonts w:eastAsia="Calibri" w:cs="Arial"/>
                <w:sz w:val="22"/>
                <w:szCs w:val="22"/>
              </w:rPr>
              <w:t xml:space="preserve">Shall mean the Party who receives an invoice from the Billing Party for </w:t>
            </w:r>
            <w:r>
              <w:rPr>
                <w:rFonts w:eastAsia="Calibri" w:cs="Arial"/>
                <w:sz w:val="22"/>
                <w:szCs w:val="22"/>
              </w:rPr>
              <w:t xml:space="preserve">Access &amp; </w:t>
            </w:r>
            <w:r w:rsidRPr="00ED0C8B">
              <w:rPr>
                <w:rFonts w:eastAsia="Calibri" w:cs="Arial"/>
                <w:sz w:val="22"/>
                <w:szCs w:val="22"/>
              </w:rPr>
              <w:t>Interconnect</w:t>
            </w:r>
            <w:r>
              <w:rPr>
                <w:rFonts w:eastAsia="Calibri" w:cs="Arial"/>
                <w:sz w:val="22"/>
                <w:szCs w:val="22"/>
              </w:rPr>
              <w:t xml:space="preserve"> </w:t>
            </w:r>
            <w:r w:rsidRPr="00ED0C8B">
              <w:rPr>
                <w:rFonts w:eastAsia="Calibri" w:cs="Arial"/>
                <w:sz w:val="22"/>
                <w:szCs w:val="22"/>
              </w:rPr>
              <w:t>Services it has received from the Billing Party.</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Billing Dispute</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Shall mean a dispute in relation to billing which is referred to in Annex B.</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Billing Information</w:t>
            </w:r>
          </w:p>
        </w:tc>
        <w:tc>
          <w:tcPr>
            <w:tcW w:w="6030" w:type="dxa"/>
            <w:vAlign w:val="center"/>
          </w:tcPr>
          <w:p w:rsidR="000536DE" w:rsidRPr="005C3563" w:rsidRDefault="004A4C66" w:rsidP="00D25137">
            <w:pPr>
              <w:spacing w:before="120" w:after="120" w:line="240" w:lineRule="auto"/>
              <w:rPr>
                <w:rFonts w:eastAsia="Calibri" w:cs="Arial"/>
                <w:sz w:val="22"/>
                <w:szCs w:val="22"/>
              </w:rPr>
            </w:pPr>
            <w:r>
              <w:rPr>
                <w:rFonts w:eastAsia="Calibri" w:cs="Arial"/>
                <w:sz w:val="22"/>
                <w:szCs w:val="22"/>
              </w:rPr>
              <w:t>I</w:t>
            </w:r>
            <w:r w:rsidR="000536DE" w:rsidRPr="005C3563">
              <w:rPr>
                <w:rFonts w:eastAsia="Calibri" w:cs="Arial"/>
                <w:sz w:val="22"/>
                <w:szCs w:val="22"/>
              </w:rPr>
              <w:t xml:space="preserve">nformation which must be provided by the Billing Party in support of invoices issued under this Agreement as agreed by the Parties to enable the Billed Party to validate an invoice and for the purposes of this </w:t>
            </w:r>
            <w:r w:rsidR="000536DE">
              <w:rPr>
                <w:rFonts w:eastAsia="Calibri" w:cs="Arial"/>
                <w:sz w:val="22"/>
                <w:szCs w:val="22"/>
              </w:rPr>
              <w:t xml:space="preserve">Access and </w:t>
            </w:r>
            <w:r w:rsidR="000536DE" w:rsidRPr="005C3563">
              <w:rPr>
                <w:rFonts w:eastAsia="Calibri" w:cs="Arial"/>
                <w:sz w:val="22"/>
                <w:szCs w:val="22"/>
              </w:rPr>
              <w:t xml:space="preserve">Interconnection Agreement the Billing Information shall consist of any or all of the following: Usage Report, General Report, CDR Data, </w:t>
            </w:r>
            <w:proofErr w:type="gramStart"/>
            <w:r w:rsidR="000536DE" w:rsidRPr="005C3563">
              <w:rPr>
                <w:rFonts w:eastAsia="Calibri" w:cs="Arial"/>
                <w:sz w:val="22"/>
                <w:szCs w:val="22"/>
              </w:rPr>
              <w:t>Invoice</w:t>
            </w:r>
            <w:proofErr w:type="gramEnd"/>
            <w:r w:rsidR="000536DE" w:rsidRPr="005C3563">
              <w:rPr>
                <w:rFonts w:eastAsia="Calibri" w:cs="Arial"/>
                <w:sz w:val="22"/>
                <w:szCs w:val="22"/>
              </w:rPr>
              <w:t>.</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Billing Party</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The Party who is issuing any particular invoice.</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Billing Period</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 xml:space="preserve">The agreed intervals at which billing takes place under this </w:t>
            </w:r>
            <w:r>
              <w:rPr>
                <w:rFonts w:eastAsia="Calibri" w:cs="Arial"/>
                <w:sz w:val="22"/>
                <w:szCs w:val="22"/>
              </w:rPr>
              <w:t xml:space="preserve">Access and </w:t>
            </w:r>
            <w:r w:rsidRPr="005C3563">
              <w:rPr>
                <w:rFonts w:eastAsia="Calibri" w:cs="Arial"/>
                <w:sz w:val="22"/>
                <w:szCs w:val="22"/>
              </w:rPr>
              <w:t>Interconnect Agreement.</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Call</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 xml:space="preserve">A </w:t>
            </w:r>
            <w:r>
              <w:rPr>
                <w:rFonts w:eastAsia="Calibri" w:cs="Arial"/>
                <w:sz w:val="22"/>
                <w:szCs w:val="22"/>
              </w:rPr>
              <w:t xml:space="preserve">successful </w:t>
            </w:r>
            <w:r w:rsidRPr="005C3563">
              <w:rPr>
                <w:rFonts w:eastAsia="Calibri" w:cs="Arial"/>
                <w:sz w:val="22"/>
                <w:szCs w:val="22"/>
              </w:rPr>
              <w:t xml:space="preserve">transmission path established through </w:t>
            </w:r>
            <w:r>
              <w:rPr>
                <w:rFonts w:eastAsia="Calibri" w:cs="Arial"/>
                <w:sz w:val="22"/>
                <w:szCs w:val="22"/>
              </w:rPr>
              <w:t xml:space="preserve">the Parties’ Networks, or a Party’s Network, </w:t>
            </w:r>
            <w:r w:rsidRPr="003E5B55">
              <w:rPr>
                <w:rFonts w:eastAsia="Calibri" w:cs="Arial"/>
                <w:sz w:val="22"/>
                <w:szCs w:val="22"/>
              </w:rPr>
              <w:t xml:space="preserve">to </w:t>
            </w:r>
            <w:r w:rsidRPr="005C3563">
              <w:rPr>
                <w:rFonts w:eastAsia="Calibri" w:cs="Arial"/>
                <w:sz w:val="22"/>
                <w:szCs w:val="22"/>
              </w:rPr>
              <w:t xml:space="preserve">by which messages can be passed from an originator and delivered </w:t>
            </w:r>
            <w:r w:rsidRPr="005C3563">
              <w:rPr>
                <w:rFonts w:eastAsia="Calibri" w:cs="Arial"/>
                <w:sz w:val="22"/>
                <w:szCs w:val="22"/>
              </w:rPr>
              <w:lastRenderedPageBreak/>
              <w:t xml:space="preserve">through conveyance to a </w:t>
            </w:r>
            <w:r w:rsidRPr="003E5B55">
              <w:rPr>
                <w:rFonts w:eastAsia="Calibri" w:cs="Arial"/>
                <w:sz w:val="22"/>
                <w:szCs w:val="22"/>
              </w:rPr>
              <w:t>network terminating equipment</w:t>
            </w:r>
            <w:r w:rsidRPr="005C3563">
              <w:rPr>
                <w:rFonts w:eastAsia="Calibri" w:cs="Arial"/>
                <w:sz w:val="22"/>
                <w:szCs w:val="22"/>
              </w:rPr>
              <w:t xml:space="preserve"> so that speech and data can be exchanged between the originat</w:t>
            </w:r>
            <w:r>
              <w:rPr>
                <w:rFonts w:eastAsia="Calibri" w:cs="Arial"/>
                <w:sz w:val="22"/>
                <w:szCs w:val="22"/>
              </w:rPr>
              <w:t>ing network equipment</w:t>
            </w:r>
            <w:r w:rsidRPr="005C3563">
              <w:rPr>
                <w:rFonts w:eastAsia="Calibri" w:cs="Arial"/>
                <w:sz w:val="22"/>
                <w:szCs w:val="22"/>
              </w:rPr>
              <w:t xml:space="preserve"> and the </w:t>
            </w:r>
            <w:r>
              <w:rPr>
                <w:rFonts w:eastAsia="Calibri" w:cs="Arial"/>
                <w:sz w:val="22"/>
                <w:szCs w:val="22"/>
              </w:rPr>
              <w:t>terminating network equipment</w:t>
            </w:r>
            <w:r w:rsidRPr="005C3563">
              <w:rPr>
                <w:rFonts w:eastAsia="Calibri" w:cs="Arial"/>
                <w:sz w:val="22"/>
                <w:szCs w:val="22"/>
              </w:rPr>
              <w:t>.</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3E5B55">
              <w:rPr>
                <w:rFonts w:eastAsia="Calibri" w:cs="Arial"/>
                <w:sz w:val="22"/>
                <w:szCs w:val="22"/>
              </w:rPr>
              <w:lastRenderedPageBreak/>
              <w:t>Call Charges</w:t>
            </w:r>
          </w:p>
        </w:tc>
        <w:tc>
          <w:tcPr>
            <w:tcW w:w="6030" w:type="dxa"/>
            <w:vAlign w:val="center"/>
          </w:tcPr>
          <w:p w:rsidR="000536DE" w:rsidRPr="005C3563" w:rsidRDefault="000536DE" w:rsidP="00D25137">
            <w:pPr>
              <w:spacing w:before="120" w:after="120" w:line="240" w:lineRule="auto"/>
              <w:rPr>
                <w:rFonts w:eastAsia="Calibri" w:cs="Arial"/>
                <w:sz w:val="22"/>
                <w:szCs w:val="22"/>
              </w:rPr>
            </w:pPr>
            <w:r>
              <w:rPr>
                <w:rFonts w:eastAsia="Calibri" w:cs="Arial"/>
                <w:sz w:val="22"/>
                <w:szCs w:val="22"/>
              </w:rPr>
              <w:t>T</w:t>
            </w:r>
            <w:r w:rsidRPr="003E5B55">
              <w:rPr>
                <w:rFonts w:eastAsia="Calibri" w:cs="Arial"/>
                <w:sz w:val="22"/>
                <w:szCs w:val="22"/>
              </w:rPr>
              <w:t xml:space="preserve">he charges payable by Requesting Party for Calls made or received by Requesting Party Customers and </w:t>
            </w:r>
            <w:proofErr w:type="spellStart"/>
            <w:r w:rsidRPr="003E5B55">
              <w:rPr>
                <w:rFonts w:eastAsia="Calibri" w:cs="Arial"/>
                <w:sz w:val="22"/>
                <w:szCs w:val="22"/>
              </w:rPr>
              <w:t>utilising</w:t>
            </w:r>
            <w:proofErr w:type="spellEnd"/>
            <w:r w:rsidRPr="003E5B55">
              <w:rPr>
                <w:rFonts w:eastAsia="Calibri" w:cs="Arial"/>
                <w:sz w:val="22"/>
                <w:szCs w:val="22"/>
              </w:rPr>
              <w:t xml:space="preserve"> the Providing Party Services, as set out in</w:t>
            </w:r>
            <w:r>
              <w:rPr>
                <w:rFonts w:eastAsia="Calibri" w:cs="Arial"/>
                <w:sz w:val="22"/>
                <w:szCs w:val="22"/>
              </w:rPr>
              <w:t xml:space="preserve"> Annex M.</w:t>
            </w:r>
          </w:p>
        </w:tc>
      </w:tr>
      <w:tr w:rsidR="000536DE" w:rsidRPr="005C3563" w:rsidTr="005E7CC7">
        <w:trPr>
          <w:trHeight w:val="535"/>
        </w:trPr>
        <w:tc>
          <w:tcPr>
            <w:tcW w:w="270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Call Duration</w:t>
            </w:r>
          </w:p>
        </w:tc>
        <w:tc>
          <w:tcPr>
            <w:tcW w:w="6030" w:type="dxa"/>
            <w:vAlign w:val="center"/>
          </w:tcPr>
          <w:p w:rsidR="000536DE" w:rsidRPr="005C3563" w:rsidRDefault="000536DE" w:rsidP="00D25137">
            <w:pPr>
              <w:spacing w:before="120" w:after="120" w:line="240" w:lineRule="auto"/>
              <w:rPr>
                <w:rFonts w:eastAsia="Calibri" w:cs="Arial"/>
                <w:sz w:val="22"/>
                <w:szCs w:val="22"/>
              </w:rPr>
            </w:pPr>
            <w:r w:rsidRPr="005C3563">
              <w:rPr>
                <w:rFonts w:eastAsia="Calibri" w:cs="Arial"/>
                <w:sz w:val="22"/>
                <w:szCs w:val="22"/>
              </w:rPr>
              <w:t>Call Duration is the duration of elapsed time as described by Section 1.2.2 of ITU-T D 150 “conversation time”.</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3E5B55">
              <w:rPr>
                <w:rFonts w:eastAsia="Calibri" w:cs="Arial"/>
                <w:sz w:val="22"/>
                <w:szCs w:val="22"/>
              </w:rPr>
              <w:t xml:space="preserve">Call </w:t>
            </w:r>
            <w:r>
              <w:rPr>
                <w:rFonts w:eastAsia="Calibri" w:cs="Arial"/>
                <w:sz w:val="22"/>
                <w:szCs w:val="22"/>
              </w:rPr>
              <w:t>Detail Record (CDR)</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R</w:t>
            </w:r>
            <w:r w:rsidRPr="003E5B55">
              <w:rPr>
                <w:rFonts w:eastAsia="Calibri" w:cs="Arial"/>
                <w:sz w:val="22"/>
                <w:szCs w:val="22"/>
              </w:rPr>
              <w:t xml:space="preserve">ecords generated in relation to the conveyance of any Call over the Providing Party Network, any data as to the record type, service provider identity, mobile phone number, call direction (whether mobile to mobile, mobile to fixed or other direction), call date, call time, </w:t>
            </w:r>
            <w:proofErr w:type="spellStart"/>
            <w:r w:rsidRPr="003E5B55">
              <w:rPr>
                <w:rFonts w:eastAsia="Calibri" w:cs="Arial"/>
                <w:sz w:val="22"/>
                <w:szCs w:val="22"/>
              </w:rPr>
              <w:t>dialled</w:t>
            </w:r>
            <w:proofErr w:type="spellEnd"/>
            <w:r w:rsidRPr="003E5B55">
              <w:rPr>
                <w:rFonts w:eastAsia="Calibri" w:cs="Arial"/>
                <w:sz w:val="22"/>
                <w:szCs w:val="22"/>
              </w:rPr>
              <w:t xml:space="preserve"> digits, charges, originating cell identity, duration in seconds, length of call in units, zone number (whether national, roamed or other), tariff code (being the pricing profile of the call), package, or call type identity, together with such other data as constitute traffic data from time to time</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Calling Line Identification (CLI)</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Calling Line Identification as defined by the ITU-T.</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Capital area</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The great Muscat area including </w:t>
            </w:r>
            <w:proofErr w:type="spellStart"/>
            <w:r w:rsidRPr="00F53F06">
              <w:rPr>
                <w:rFonts w:eastAsia="Calibri" w:cs="Arial"/>
                <w:sz w:val="22"/>
                <w:szCs w:val="22"/>
              </w:rPr>
              <w:t>Ruwi</w:t>
            </w:r>
            <w:proofErr w:type="spellEnd"/>
            <w:r w:rsidRPr="00F53F06">
              <w:rPr>
                <w:rFonts w:eastAsia="Calibri" w:cs="Arial"/>
                <w:sz w:val="22"/>
                <w:szCs w:val="22"/>
              </w:rPr>
              <w:t>, Muttrah and other, served by the switches of Qurum and Muttrah.</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Chargeable Call</w:t>
            </w:r>
          </w:p>
          <w:p w:rsidR="000536DE" w:rsidRPr="00F53F06" w:rsidRDefault="000536DE" w:rsidP="00D25137">
            <w:pPr>
              <w:spacing w:before="120" w:after="120" w:line="240" w:lineRule="auto"/>
              <w:rPr>
                <w:rFonts w:eastAsia="Calibri" w:cs="Arial"/>
                <w:sz w:val="22"/>
                <w:szCs w:val="22"/>
              </w:rPr>
            </w:pP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A Call shall be deemed a Chargeable Call which is chargeable in each Billing Period if:</w:t>
            </w:r>
          </w:p>
          <w:p w:rsidR="000536DE" w:rsidRPr="00F53F06" w:rsidRDefault="000536DE" w:rsidP="00D25137">
            <w:pPr>
              <w:pStyle w:val="ListParagraph"/>
              <w:numPr>
                <w:ilvl w:val="0"/>
                <w:numId w:val="31"/>
              </w:numPr>
              <w:autoSpaceDE w:val="0"/>
              <w:autoSpaceDN w:val="0"/>
              <w:adjustRightInd w:val="0"/>
              <w:spacing w:before="120" w:after="120" w:line="240" w:lineRule="auto"/>
              <w:ind w:left="252" w:hanging="252"/>
              <w:mirrorIndents w:val="0"/>
              <w:rPr>
                <w:rFonts w:eastAsia="Calibri"/>
                <w:szCs w:val="22"/>
              </w:rPr>
            </w:pPr>
            <w:r w:rsidRPr="00F53F06">
              <w:rPr>
                <w:rFonts w:eastAsia="Calibri"/>
                <w:szCs w:val="22"/>
              </w:rPr>
              <w:t xml:space="preserve">A Call is handed over at a Point of Interconnection and during the SS7 signaling sequence of that Call, the SS7 Initial Address Message (IAM) sent by one Party has been responded to by an SS7 Address Complete or Release Message (ACM or RM) by the terminating or transiting Network Party; and </w:t>
            </w:r>
          </w:p>
          <w:p w:rsidR="000536DE" w:rsidRPr="00F53F06" w:rsidRDefault="000536DE" w:rsidP="00D25137">
            <w:pPr>
              <w:pStyle w:val="ListParagraph"/>
              <w:numPr>
                <w:ilvl w:val="0"/>
                <w:numId w:val="31"/>
              </w:numPr>
              <w:autoSpaceDE w:val="0"/>
              <w:autoSpaceDN w:val="0"/>
              <w:adjustRightInd w:val="0"/>
              <w:spacing w:before="120" w:after="120" w:line="240" w:lineRule="auto"/>
              <w:ind w:left="252" w:hanging="252"/>
              <w:mirrorIndents w:val="0"/>
              <w:rPr>
                <w:rFonts w:eastAsia="Calibri"/>
                <w:szCs w:val="22"/>
              </w:rPr>
            </w:pPr>
            <w:r w:rsidRPr="00F53F06">
              <w:rPr>
                <w:rFonts w:eastAsia="Calibri"/>
                <w:szCs w:val="22"/>
              </w:rPr>
              <w:t>A SS7/C7 answer condition/signal in the backward direction has been received by the terminating or transiting Network Party (‘B’ number answer).</w:t>
            </w:r>
          </w:p>
          <w:p w:rsidR="000536DE" w:rsidRPr="00F53F06" w:rsidRDefault="000536DE" w:rsidP="00D25137">
            <w:pPr>
              <w:pStyle w:val="ListParagraph"/>
              <w:numPr>
                <w:ilvl w:val="0"/>
                <w:numId w:val="31"/>
              </w:numPr>
              <w:autoSpaceDE w:val="0"/>
              <w:autoSpaceDN w:val="0"/>
              <w:adjustRightInd w:val="0"/>
              <w:spacing w:before="120" w:after="120" w:line="240" w:lineRule="auto"/>
              <w:ind w:left="252" w:hanging="252"/>
              <w:mirrorIndents w:val="0"/>
              <w:rPr>
                <w:rFonts w:eastAsia="Calibri"/>
                <w:szCs w:val="22"/>
              </w:rPr>
            </w:pPr>
            <w:r w:rsidRPr="00F53F06">
              <w:rPr>
                <w:rFonts w:eastAsia="Calibri"/>
                <w:szCs w:val="22"/>
              </w:rPr>
              <w:t xml:space="preserve">A Chargeable Call shall include a Call that is terminated onto any network voice mail system (for the avoidance of doubt a network engaged tone, “B” number engaged tone and a “B” number unobtainable tone do not </w:t>
            </w:r>
            <w:r w:rsidRPr="00F53F06">
              <w:rPr>
                <w:rFonts w:eastAsia="Calibri"/>
                <w:szCs w:val="22"/>
              </w:rPr>
              <w:lastRenderedPageBreak/>
              <w:t xml:space="preserve">constitute a Chargeable Call). </w:t>
            </w:r>
          </w:p>
          <w:p w:rsidR="000536DE" w:rsidRPr="00F53F06" w:rsidRDefault="000536DE" w:rsidP="00D25137">
            <w:pPr>
              <w:pStyle w:val="ListParagraph"/>
              <w:numPr>
                <w:ilvl w:val="0"/>
                <w:numId w:val="31"/>
              </w:numPr>
              <w:autoSpaceDE w:val="0"/>
              <w:autoSpaceDN w:val="0"/>
              <w:adjustRightInd w:val="0"/>
              <w:spacing w:before="120" w:after="120" w:line="240" w:lineRule="auto"/>
              <w:ind w:left="252" w:hanging="252"/>
              <w:mirrorIndents w:val="0"/>
              <w:rPr>
                <w:rFonts w:eastAsia="Calibri"/>
                <w:szCs w:val="22"/>
              </w:rPr>
            </w:pPr>
            <w:r w:rsidRPr="00F53F06">
              <w:rPr>
                <w:rFonts w:eastAsia="Calibri"/>
                <w:szCs w:val="22"/>
              </w:rPr>
              <w:t>A Chargeable Call is referred to as a Call in the Reference Offer.</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lastRenderedPageBreak/>
              <w:t>Chargeable Call Duration</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Is the duration of elapsed time of a Chargeable Call described by Section 1.2.2 of ITU-T D 150 “conversation </w:t>
            </w:r>
            <w:proofErr w:type="gramStart"/>
            <w:r w:rsidRPr="00F53F06">
              <w:rPr>
                <w:rFonts w:eastAsia="Calibri" w:cs="Arial"/>
                <w:sz w:val="22"/>
                <w:szCs w:val="22"/>
              </w:rPr>
              <w:t>time.</w:t>
            </w:r>
            <w:proofErr w:type="gramEnd"/>
          </w:p>
        </w:tc>
      </w:tr>
      <w:tr w:rsidR="000536DE" w:rsidRPr="00C55A42" w:rsidTr="005E7CC7">
        <w:trPr>
          <w:trHeight w:val="535"/>
        </w:trPr>
        <w:tc>
          <w:tcPr>
            <w:tcW w:w="2700" w:type="dxa"/>
            <w:vAlign w:val="center"/>
          </w:tcPr>
          <w:p w:rsidR="000536DE" w:rsidRDefault="000536DE" w:rsidP="00D25137">
            <w:pPr>
              <w:spacing w:before="120" w:after="120" w:line="240" w:lineRule="auto"/>
              <w:rPr>
                <w:rFonts w:eastAsia="Calibri" w:cs="Arial"/>
                <w:sz w:val="22"/>
                <w:szCs w:val="22"/>
              </w:rPr>
            </w:pPr>
            <w:r w:rsidRPr="00114920">
              <w:rPr>
                <w:rFonts w:eastAsia="Calibri" w:cs="Arial"/>
                <w:sz w:val="22"/>
                <w:szCs w:val="22"/>
              </w:rPr>
              <w:t>Charges</w:t>
            </w:r>
          </w:p>
        </w:tc>
        <w:tc>
          <w:tcPr>
            <w:tcW w:w="6030" w:type="dxa"/>
            <w:vAlign w:val="center"/>
          </w:tcPr>
          <w:p w:rsidR="000536DE" w:rsidRPr="00232B29" w:rsidRDefault="000536DE" w:rsidP="00D25137">
            <w:pPr>
              <w:spacing w:before="120" w:after="120" w:line="240" w:lineRule="auto"/>
              <w:rPr>
                <w:rFonts w:eastAsia="Calibri" w:cs="Arial"/>
                <w:sz w:val="22"/>
                <w:szCs w:val="22"/>
              </w:rPr>
            </w:pPr>
            <w:r>
              <w:rPr>
                <w:rFonts w:eastAsia="Calibri" w:cs="Arial"/>
                <w:sz w:val="22"/>
                <w:szCs w:val="22"/>
              </w:rPr>
              <w:t>T</w:t>
            </w:r>
            <w:r w:rsidRPr="00114920">
              <w:rPr>
                <w:rFonts w:eastAsia="Calibri" w:cs="Arial"/>
                <w:sz w:val="22"/>
                <w:szCs w:val="22"/>
              </w:rPr>
              <w:t xml:space="preserve">he charges for the Providing Party Services as set out </w:t>
            </w:r>
            <w:r>
              <w:rPr>
                <w:rFonts w:eastAsia="Calibri" w:cs="Arial"/>
                <w:sz w:val="22"/>
                <w:szCs w:val="22"/>
              </w:rPr>
              <w:t>in Annex M</w:t>
            </w:r>
            <w:r w:rsidRPr="00114920">
              <w:rPr>
                <w:rFonts w:eastAsia="Calibri" w:cs="Arial"/>
                <w:sz w:val="22"/>
                <w:szCs w:val="22"/>
              </w:rPr>
              <w:t xml:space="preserve"> and any other charges agreed in writing by the parties for services provided by Providing Party under this Agreement</w:t>
            </w:r>
            <w:r>
              <w:rPr>
                <w:rFonts w:eastAsia="Calibri" w:cs="Arial"/>
                <w:sz w:val="22"/>
                <w:szCs w:val="22"/>
              </w:rPr>
              <w:t>.</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CLI Code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232B29">
              <w:rPr>
                <w:rFonts w:eastAsia="Calibri" w:cs="Arial"/>
                <w:sz w:val="22"/>
                <w:szCs w:val="22"/>
              </w:rPr>
              <w:t xml:space="preserve">Shall be the code set out in Annexure I of this </w:t>
            </w:r>
            <w:r>
              <w:rPr>
                <w:rFonts w:eastAsia="Calibri" w:cs="Arial"/>
                <w:sz w:val="22"/>
                <w:szCs w:val="22"/>
              </w:rPr>
              <w:t xml:space="preserve">Access and </w:t>
            </w:r>
            <w:r w:rsidRPr="00232B29">
              <w:rPr>
                <w:rFonts w:eastAsia="Calibri" w:cs="Arial"/>
                <w:sz w:val="22"/>
                <w:szCs w:val="22"/>
              </w:rPr>
              <w:t>Interconnection Agreement which the Parties agree</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CLI </w:t>
            </w:r>
            <w:r w:rsidR="004E7854">
              <w:rPr>
                <w:rFonts w:eastAsia="Calibri" w:cs="Arial"/>
                <w:sz w:val="22"/>
                <w:szCs w:val="22"/>
              </w:rPr>
              <w:t>D</w:t>
            </w:r>
            <w:r w:rsidRPr="00F53F06">
              <w:rPr>
                <w:rFonts w:eastAsia="Calibri" w:cs="Arial"/>
                <w:sz w:val="22"/>
                <w:szCs w:val="22"/>
              </w:rPr>
              <w:t>ata Available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The CLI data available for transmission to the Network Termination Point of the Terminating Network.</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CLIP </w:t>
            </w:r>
            <w:r w:rsidR="004E7854">
              <w:rPr>
                <w:rFonts w:eastAsia="Calibri" w:cs="Arial"/>
                <w:sz w:val="22"/>
                <w:szCs w:val="22"/>
              </w:rPr>
              <w:t>C</w:t>
            </w:r>
            <w:r w:rsidRPr="00F53F06">
              <w:rPr>
                <w:rFonts w:eastAsia="Calibri" w:cs="Arial"/>
                <w:sz w:val="22"/>
                <w:szCs w:val="22"/>
              </w:rPr>
              <w:t>ode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Is the per call basis code *31#.</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Collocated </w:t>
            </w:r>
            <w:r w:rsidR="004E7854">
              <w:rPr>
                <w:rFonts w:eastAsia="Calibri" w:cs="Arial"/>
                <w:sz w:val="22"/>
                <w:szCs w:val="22"/>
              </w:rPr>
              <w:t>S</w:t>
            </w:r>
            <w:r w:rsidRPr="00F53F06">
              <w:rPr>
                <w:rFonts w:eastAsia="Calibri" w:cs="Arial"/>
                <w:sz w:val="22"/>
                <w:szCs w:val="22"/>
              </w:rPr>
              <w:t>pace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The space which has been allocated for collocation to the </w:t>
            </w:r>
            <w:r>
              <w:rPr>
                <w:rFonts w:eastAsia="Calibri" w:cs="Arial"/>
                <w:sz w:val="22"/>
                <w:szCs w:val="22"/>
              </w:rPr>
              <w:t>Requesting Party.</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Commencement Date</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The effective date of this Agreement.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Commencement Date of Charging</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The date on which charging for a service commences. </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Completion of Delivery</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Acceptance sent to </w:t>
            </w:r>
            <w:r>
              <w:rPr>
                <w:rFonts w:eastAsia="Calibri" w:cs="Arial"/>
                <w:sz w:val="22"/>
                <w:szCs w:val="22"/>
              </w:rPr>
              <w:t>Providing Party</w:t>
            </w:r>
            <w:r w:rsidRPr="00F53F06">
              <w:rPr>
                <w:rFonts w:eastAsia="Calibri" w:cs="Arial"/>
                <w:sz w:val="22"/>
                <w:szCs w:val="22"/>
              </w:rPr>
              <w:t xml:space="preserve"> from </w:t>
            </w:r>
            <w:r>
              <w:rPr>
                <w:rFonts w:eastAsia="Calibri" w:cs="Arial"/>
                <w:sz w:val="22"/>
                <w:szCs w:val="22"/>
              </w:rPr>
              <w:t>Requesting Party</w:t>
            </w:r>
            <w:r w:rsidRPr="00F53F06">
              <w:rPr>
                <w:rFonts w:eastAsia="Calibri" w:cs="Arial"/>
                <w:sz w:val="22"/>
                <w:szCs w:val="22"/>
              </w:rPr>
              <w:t>, that the delivery is completed as specified.</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Confidential Information</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A</w:t>
            </w:r>
            <w:r w:rsidRPr="00114920">
              <w:rPr>
                <w:rFonts w:eastAsia="Calibri" w:cs="Arial"/>
                <w:sz w:val="22"/>
                <w:szCs w:val="22"/>
              </w:rPr>
              <w:t>ny information, whether in written or any other form, which has been disclosed in the course of the discussions leading up to or the entering into or performance of this Agreement (including this Agreement) and which is identified as confidential or is clearly by its nature confidential</w:t>
            </w:r>
            <w:r w:rsidR="004E7854">
              <w:rPr>
                <w:rFonts w:eastAsia="Calibri" w:cs="Arial"/>
                <w:sz w:val="22"/>
                <w:szCs w:val="22"/>
              </w:rPr>
              <w:t xml:space="preserve"> and as set out in Annex J</w:t>
            </w:r>
            <w:r>
              <w:rPr>
                <w:rFonts w:eastAsia="Calibri" w:cs="Arial"/>
                <w:sz w:val="22"/>
                <w:szCs w:val="22"/>
              </w:rPr>
              <w: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114920">
              <w:rPr>
                <w:rFonts w:eastAsia="Calibri" w:cs="Arial"/>
                <w:sz w:val="22"/>
                <w:szCs w:val="22"/>
              </w:rPr>
              <w:t>Customer</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A</w:t>
            </w:r>
            <w:r w:rsidRPr="00114920">
              <w:rPr>
                <w:rFonts w:eastAsia="Calibri" w:cs="Arial"/>
                <w:sz w:val="22"/>
                <w:szCs w:val="22"/>
              </w:rPr>
              <w:t xml:space="preserve"> </w:t>
            </w:r>
            <w:r>
              <w:rPr>
                <w:rFonts w:eastAsia="Calibri" w:cs="Arial"/>
                <w:sz w:val="22"/>
                <w:szCs w:val="22"/>
              </w:rPr>
              <w:t>person or entity who is the end-</w:t>
            </w:r>
            <w:r w:rsidRPr="00114920">
              <w:rPr>
                <w:rFonts w:eastAsia="Calibri" w:cs="Arial"/>
                <w:sz w:val="22"/>
                <w:szCs w:val="22"/>
              </w:rPr>
              <w:t xml:space="preserve">user of the services and </w:t>
            </w:r>
            <w:proofErr w:type="spellStart"/>
            <w:r w:rsidRPr="00114920">
              <w:rPr>
                <w:rFonts w:eastAsia="Calibri" w:cs="Arial"/>
                <w:sz w:val="22"/>
                <w:szCs w:val="22"/>
              </w:rPr>
              <w:t>authorises</w:t>
            </w:r>
            <w:proofErr w:type="spellEnd"/>
            <w:r w:rsidRPr="00114920">
              <w:rPr>
                <w:rFonts w:eastAsia="Calibri" w:cs="Arial"/>
                <w:sz w:val="22"/>
                <w:szCs w:val="22"/>
              </w:rPr>
              <w:t xml:space="preserve"> a Party to act on its behalf for the purpose of securing services from the other Party</w:t>
            </w:r>
            <w:r>
              <w:rPr>
                <w:rFonts w:eastAsia="Calibri" w:cs="Arial"/>
                <w:sz w:val="22"/>
                <w:szCs w:val="22"/>
              </w:rPr>
              <w: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Customer Number Range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Any number range, either geographic or </w:t>
            </w:r>
            <w:proofErr w:type="spellStart"/>
            <w:r w:rsidRPr="00F53F06">
              <w:rPr>
                <w:rFonts w:eastAsia="Calibri" w:cs="Arial"/>
                <w:sz w:val="22"/>
                <w:szCs w:val="22"/>
              </w:rPr>
              <w:t>non geographic</w:t>
            </w:r>
            <w:proofErr w:type="spellEnd"/>
            <w:r w:rsidRPr="00F53F06">
              <w:rPr>
                <w:rFonts w:eastAsia="Calibri" w:cs="Arial"/>
                <w:sz w:val="22"/>
                <w:szCs w:val="22"/>
              </w:rPr>
              <w:t xml:space="preserve">, from which individual numbers or groups of numbers are </w:t>
            </w:r>
            <w:r w:rsidRPr="00F53F06">
              <w:rPr>
                <w:rFonts w:eastAsia="Calibri" w:cs="Arial"/>
                <w:sz w:val="22"/>
                <w:szCs w:val="22"/>
              </w:rPr>
              <w:lastRenderedPageBreak/>
              <w:t xml:space="preserve">assigned to specific end user customers. </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lastRenderedPageBreak/>
              <w:t>Data Management Amendment</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Such data reconfiguration of the </w:t>
            </w:r>
            <w:r>
              <w:rPr>
                <w:rFonts w:eastAsia="Calibri" w:cs="Arial"/>
                <w:sz w:val="22"/>
                <w:szCs w:val="22"/>
              </w:rPr>
              <w:t>Providing Party</w:t>
            </w:r>
            <w:r w:rsidRPr="00F53F06">
              <w:rPr>
                <w:rFonts w:eastAsia="Calibri" w:cs="Arial"/>
                <w:sz w:val="22"/>
                <w:szCs w:val="22"/>
              </w:rPr>
              <w:t xml:space="preserve"> Network or the </w:t>
            </w:r>
            <w:r>
              <w:rPr>
                <w:rFonts w:eastAsia="Calibri" w:cs="Arial"/>
                <w:sz w:val="22"/>
                <w:szCs w:val="22"/>
              </w:rPr>
              <w:t>Requesting Party</w:t>
            </w:r>
            <w:r w:rsidRPr="00F53F06">
              <w:rPr>
                <w:rFonts w:eastAsia="Calibri" w:cs="Arial"/>
                <w:sz w:val="22"/>
                <w:szCs w:val="22"/>
              </w:rPr>
              <w:t xml:space="preserve"> Network as is necessary for the access, routing and charging of Calls.</w:t>
            </w:r>
          </w:p>
        </w:tc>
      </w:tr>
      <w:tr w:rsidR="000536DE" w:rsidRPr="00332771" w:rsidTr="005E7CC7">
        <w:trPr>
          <w:trHeight w:val="535"/>
        </w:trPr>
        <w:tc>
          <w:tcPr>
            <w:tcW w:w="2700" w:type="dxa"/>
            <w:vAlign w:val="center"/>
          </w:tcPr>
          <w:p w:rsidR="000536DE" w:rsidRPr="00332771" w:rsidRDefault="000536DE" w:rsidP="00D25137">
            <w:pPr>
              <w:spacing w:before="120" w:after="120" w:line="240" w:lineRule="auto"/>
              <w:rPr>
                <w:rFonts w:eastAsia="Calibri" w:cs="Arial"/>
                <w:sz w:val="22"/>
                <w:szCs w:val="22"/>
              </w:rPr>
            </w:pPr>
            <w:r w:rsidRPr="00332771">
              <w:rPr>
                <w:rFonts w:eastAsia="Calibri" w:cs="Arial"/>
                <w:sz w:val="22"/>
                <w:szCs w:val="22"/>
              </w:rPr>
              <w:t>Delivery Confirmation</w:t>
            </w:r>
          </w:p>
        </w:tc>
        <w:tc>
          <w:tcPr>
            <w:tcW w:w="6030" w:type="dxa"/>
            <w:vAlign w:val="center"/>
          </w:tcPr>
          <w:p w:rsidR="000536DE" w:rsidRPr="00332771" w:rsidRDefault="000536DE" w:rsidP="00D25137">
            <w:pPr>
              <w:spacing w:before="120" w:after="120" w:line="240" w:lineRule="auto"/>
              <w:rPr>
                <w:rFonts w:eastAsia="Calibri" w:cs="Arial"/>
                <w:sz w:val="22"/>
                <w:szCs w:val="22"/>
              </w:rPr>
            </w:pPr>
            <w:r w:rsidRPr="00332771">
              <w:rPr>
                <w:rFonts w:eastAsia="Calibri" w:cs="Arial"/>
                <w:sz w:val="22"/>
                <w:szCs w:val="22"/>
              </w:rPr>
              <w:t>Written confirmation that the Delivery Due Date will be met.</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Delivery Due Date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The date </w:t>
            </w:r>
            <w:r>
              <w:rPr>
                <w:rFonts w:eastAsia="Calibri" w:cs="Arial"/>
                <w:sz w:val="22"/>
                <w:szCs w:val="22"/>
              </w:rPr>
              <w:t>Providing Party</w:t>
            </w:r>
            <w:r w:rsidRPr="00F53F06">
              <w:rPr>
                <w:rFonts w:eastAsia="Calibri" w:cs="Arial"/>
                <w:sz w:val="22"/>
                <w:szCs w:val="22"/>
              </w:rPr>
              <w:t xml:space="preserve"> is prepared to deliver the order or request.</w:t>
            </w:r>
          </w:p>
        </w:tc>
      </w:tr>
      <w:tr w:rsidR="000536DE" w:rsidRPr="00C55A42"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Delivery Order Offer</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Sent by </w:t>
            </w:r>
            <w:r>
              <w:rPr>
                <w:rFonts w:eastAsia="Calibri" w:cs="Arial"/>
                <w:sz w:val="22"/>
                <w:szCs w:val="22"/>
              </w:rPr>
              <w:t>Providing Party</w:t>
            </w:r>
            <w:r w:rsidRPr="00F53F06">
              <w:rPr>
                <w:rFonts w:eastAsia="Calibri" w:cs="Arial"/>
                <w:sz w:val="22"/>
                <w:szCs w:val="22"/>
              </w:rPr>
              <w:t xml:space="preserve"> to </w:t>
            </w:r>
            <w:r>
              <w:rPr>
                <w:rFonts w:eastAsia="Calibri" w:cs="Arial"/>
                <w:sz w:val="22"/>
                <w:szCs w:val="22"/>
              </w:rPr>
              <w:t>Requesting Party</w:t>
            </w:r>
            <w:r w:rsidRPr="00F53F06">
              <w:rPr>
                <w:rFonts w:eastAsia="Calibri" w:cs="Arial"/>
                <w:sz w:val="22"/>
                <w:szCs w:val="22"/>
              </w:rPr>
              <w:t xml:space="preserve"> and consists of the order details given by the </w:t>
            </w:r>
            <w:r>
              <w:rPr>
                <w:rFonts w:eastAsia="Calibri" w:cs="Arial"/>
                <w:sz w:val="22"/>
                <w:szCs w:val="22"/>
              </w:rPr>
              <w:t>Requesting Party</w:t>
            </w:r>
            <w:r w:rsidRPr="00F53F06">
              <w:rPr>
                <w:rFonts w:eastAsia="Calibri" w:cs="Arial"/>
                <w:sz w:val="22"/>
                <w:szCs w:val="22"/>
              </w:rPr>
              <w:t xml:space="preserve"> and the Delivery Due Date.</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Delivery Request Offer</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Sent by </w:t>
            </w:r>
            <w:r>
              <w:rPr>
                <w:rFonts w:eastAsia="Calibri" w:cs="Arial"/>
                <w:sz w:val="22"/>
                <w:szCs w:val="22"/>
              </w:rPr>
              <w:t>Providing Party</w:t>
            </w:r>
            <w:r w:rsidRPr="00F53F06">
              <w:rPr>
                <w:rFonts w:eastAsia="Calibri" w:cs="Arial"/>
                <w:sz w:val="22"/>
                <w:szCs w:val="22"/>
              </w:rPr>
              <w:t xml:space="preserve"> to </w:t>
            </w:r>
            <w:r>
              <w:rPr>
                <w:rFonts w:eastAsia="Calibri" w:cs="Arial"/>
                <w:sz w:val="22"/>
                <w:szCs w:val="22"/>
              </w:rPr>
              <w:t>Requesting Party</w:t>
            </w:r>
            <w:r w:rsidRPr="00F53F06">
              <w:rPr>
                <w:rFonts w:eastAsia="Calibri" w:cs="Arial"/>
                <w:sz w:val="22"/>
                <w:szCs w:val="22"/>
              </w:rPr>
              <w:t xml:space="preserve"> and consists of the request details given by the </w:t>
            </w:r>
            <w:r>
              <w:rPr>
                <w:rFonts w:eastAsia="Calibri" w:cs="Arial"/>
                <w:sz w:val="22"/>
                <w:szCs w:val="22"/>
              </w:rPr>
              <w:t>Requesting Party</w:t>
            </w:r>
            <w:r w:rsidRPr="00F53F06">
              <w:rPr>
                <w:rFonts w:eastAsia="Calibri" w:cs="Arial"/>
                <w:sz w:val="22"/>
                <w:szCs w:val="22"/>
              </w:rPr>
              <w:t xml:space="preserve"> and the Delivery Due Date.</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Disclosing Party</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A Party disclosing information covered by this </w:t>
            </w:r>
            <w:r>
              <w:rPr>
                <w:rFonts w:eastAsia="Calibri" w:cs="Arial"/>
                <w:sz w:val="22"/>
                <w:szCs w:val="22"/>
              </w:rPr>
              <w:t xml:space="preserve">Access and </w:t>
            </w:r>
            <w:r w:rsidRPr="00F53F06">
              <w:rPr>
                <w:rFonts w:eastAsia="Calibri" w:cs="Arial"/>
                <w:sz w:val="22"/>
                <w:szCs w:val="22"/>
              </w:rPr>
              <w:t>Interconnect</w:t>
            </w:r>
            <w:r w:rsidR="00005446">
              <w:rPr>
                <w:rFonts w:eastAsia="Calibri" w:cs="Arial"/>
                <w:sz w:val="22"/>
                <w:szCs w:val="22"/>
              </w:rPr>
              <w:t>ion</w:t>
            </w:r>
            <w:r w:rsidRPr="00F53F06">
              <w:rPr>
                <w:rFonts w:eastAsia="Calibri" w:cs="Arial"/>
                <w:sz w:val="22"/>
                <w:szCs w:val="22"/>
              </w:rPr>
              <w:t xml:space="preserve"> Agreement. </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Dispute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Any disagreement between the Parties in respect of the interpretation or resolution of any provision of this </w:t>
            </w:r>
            <w:r>
              <w:rPr>
                <w:rFonts w:eastAsia="Calibri" w:cs="Arial"/>
                <w:sz w:val="22"/>
                <w:szCs w:val="22"/>
              </w:rPr>
              <w:t xml:space="preserve">Access and </w:t>
            </w:r>
            <w:r w:rsidRPr="00F53F06">
              <w:rPr>
                <w:rFonts w:eastAsia="Calibri" w:cs="Arial"/>
                <w:sz w:val="22"/>
                <w:szCs w:val="22"/>
              </w:rPr>
              <w:t>Interconnect</w:t>
            </w:r>
            <w:r w:rsidR="00005446">
              <w:rPr>
                <w:rFonts w:eastAsia="Calibri" w:cs="Arial"/>
                <w:sz w:val="22"/>
                <w:szCs w:val="22"/>
              </w:rPr>
              <w:t>ion</w:t>
            </w:r>
            <w:r w:rsidRPr="00F53F06">
              <w:rPr>
                <w:rFonts w:eastAsia="Calibri" w:cs="Arial"/>
                <w:sz w:val="22"/>
                <w:szCs w:val="22"/>
              </w:rPr>
              <w:t xml:space="preserve"> Agreement (excluding breaches of this </w:t>
            </w:r>
            <w:r>
              <w:rPr>
                <w:rFonts w:eastAsia="Calibri" w:cs="Arial"/>
                <w:sz w:val="22"/>
                <w:szCs w:val="22"/>
              </w:rPr>
              <w:t xml:space="preserve">Access and </w:t>
            </w:r>
            <w:r w:rsidRPr="00F53F06">
              <w:rPr>
                <w:rFonts w:eastAsia="Calibri" w:cs="Arial"/>
                <w:sz w:val="22"/>
                <w:szCs w:val="22"/>
              </w:rPr>
              <w:t>Interconnect</w:t>
            </w:r>
            <w:r w:rsidR="00005446">
              <w:rPr>
                <w:rFonts w:eastAsia="Calibri" w:cs="Arial"/>
                <w:sz w:val="22"/>
                <w:szCs w:val="22"/>
              </w:rPr>
              <w:t>ion</w:t>
            </w:r>
            <w:r w:rsidRPr="00F53F06">
              <w:rPr>
                <w:rFonts w:eastAsia="Calibri" w:cs="Arial"/>
                <w:sz w:val="22"/>
                <w:szCs w:val="22"/>
              </w:rPr>
              <w:t xml:space="preserve"> Agreement).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Dispute Resolution</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A process agreed by the parties for the resolution of disagreements. Such process will not constrain either </w:t>
            </w:r>
            <w:r w:rsidR="00005446">
              <w:rPr>
                <w:rFonts w:eastAsia="Calibri" w:cs="Arial"/>
                <w:sz w:val="22"/>
                <w:szCs w:val="22"/>
              </w:rPr>
              <w:t>P</w:t>
            </w:r>
            <w:r w:rsidRPr="00F53F06">
              <w:rPr>
                <w:rFonts w:eastAsia="Calibri" w:cs="Arial"/>
                <w:sz w:val="22"/>
                <w:szCs w:val="22"/>
              </w:rPr>
              <w:t>art</w:t>
            </w:r>
            <w:r w:rsidR="00005446">
              <w:rPr>
                <w:rFonts w:eastAsia="Calibri" w:cs="Arial"/>
                <w:sz w:val="22"/>
                <w:szCs w:val="22"/>
              </w:rPr>
              <w:t>y’s</w:t>
            </w:r>
            <w:r w:rsidRPr="00F53F06">
              <w:rPr>
                <w:rFonts w:eastAsia="Calibri" w:cs="Arial"/>
                <w:sz w:val="22"/>
                <w:szCs w:val="22"/>
              </w:rPr>
              <w:t xml:space="preserve"> legal rights.</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Due Date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A date which is 30 calendar days after the date of an invoice. </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End</w:t>
            </w:r>
            <w:r>
              <w:rPr>
                <w:rFonts w:eastAsia="Calibri" w:cs="Arial"/>
                <w:sz w:val="22"/>
                <w:szCs w:val="22"/>
              </w:rPr>
              <w:t>-</w:t>
            </w:r>
            <w:r w:rsidRPr="00F53F06">
              <w:rPr>
                <w:rFonts w:eastAsia="Calibri" w:cs="Arial"/>
                <w:sz w:val="22"/>
                <w:szCs w:val="22"/>
              </w:rPr>
              <w:t>User</w:t>
            </w:r>
          </w:p>
        </w:tc>
        <w:tc>
          <w:tcPr>
            <w:tcW w:w="6030" w:type="dxa"/>
            <w:vAlign w:val="center"/>
          </w:tcPr>
          <w:p w:rsidR="000536DE" w:rsidRPr="00F53F06" w:rsidRDefault="004A4C66" w:rsidP="00D25137">
            <w:pPr>
              <w:spacing w:before="120" w:after="120" w:line="240" w:lineRule="auto"/>
              <w:rPr>
                <w:rFonts w:eastAsia="Calibri" w:cs="Arial"/>
                <w:sz w:val="22"/>
                <w:szCs w:val="22"/>
              </w:rPr>
            </w:pPr>
            <w:r>
              <w:rPr>
                <w:rFonts w:eastAsia="Calibri" w:cs="Arial"/>
                <w:sz w:val="22"/>
                <w:szCs w:val="22"/>
              </w:rPr>
              <w:t>T</w:t>
            </w:r>
            <w:r w:rsidR="000536DE">
              <w:rPr>
                <w:rFonts w:eastAsia="Calibri" w:cs="Arial"/>
                <w:sz w:val="22"/>
                <w:szCs w:val="22"/>
              </w:rPr>
              <w:t>he actual user consuming the Services providing under this Agreement.</w:t>
            </w:r>
          </w:p>
        </w:tc>
      </w:tr>
      <w:tr w:rsidR="000536DE" w:rsidRPr="00F53F06" w:rsidTr="005E7CC7">
        <w:trPr>
          <w:trHeight w:val="535"/>
        </w:trPr>
        <w:tc>
          <w:tcPr>
            <w:tcW w:w="2700" w:type="dxa"/>
            <w:vAlign w:val="center"/>
          </w:tcPr>
          <w:p w:rsidR="000536DE" w:rsidRDefault="000536DE" w:rsidP="00D25137">
            <w:pPr>
              <w:spacing w:before="120" w:after="120" w:line="240" w:lineRule="auto"/>
              <w:rPr>
                <w:rFonts w:eastAsia="Calibri" w:cs="Arial"/>
                <w:sz w:val="22"/>
                <w:szCs w:val="22"/>
              </w:rPr>
            </w:pPr>
            <w:r w:rsidRPr="00114920">
              <w:rPr>
                <w:rFonts w:eastAsia="Calibri" w:cs="Arial"/>
                <w:sz w:val="22"/>
                <w:szCs w:val="22"/>
              </w:rPr>
              <w:t>End-User Data</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I</w:t>
            </w:r>
            <w:r w:rsidRPr="00114920">
              <w:rPr>
                <w:rFonts w:eastAsia="Calibri" w:cs="Arial"/>
                <w:sz w:val="22"/>
                <w:szCs w:val="22"/>
              </w:rPr>
              <w:t xml:space="preserve">nformation relating to </w:t>
            </w:r>
            <w:r>
              <w:rPr>
                <w:rFonts w:eastAsia="Calibri" w:cs="Arial"/>
                <w:sz w:val="22"/>
                <w:szCs w:val="22"/>
              </w:rPr>
              <w:t>the Parties’</w:t>
            </w:r>
            <w:r w:rsidRPr="00114920">
              <w:rPr>
                <w:rFonts w:eastAsia="Calibri" w:cs="Arial"/>
                <w:sz w:val="22"/>
                <w:szCs w:val="22"/>
              </w:rPr>
              <w:t xml:space="preserve"> Customers which constitutes personal data, including their names, addresses, email addresses and account histories, including Call</w:t>
            </w:r>
            <w:r>
              <w:rPr>
                <w:rFonts w:eastAsia="Calibri" w:cs="Arial"/>
                <w:sz w:val="22"/>
                <w:szCs w:val="22"/>
              </w:rPr>
              <w:t xml:space="preserve"> Data</w:t>
            </w:r>
            <w:r w:rsidRPr="00114920">
              <w:rPr>
                <w:rFonts w:eastAsia="Calibri" w:cs="Arial"/>
                <w:sz w:val="22"/>
                <w:szCs w:val="22"/>
              </w:rPr>
              <w:t xml:space="preserve"> Records</w:t>
            </w:r>
            <w:r>
              <w:rPr>
                <w:rFonts w:eastAsia="Calibri" w:cs="Arial"/>
                <w:sz w:val="22"/>
                <w:szCs w:val="22"/>
              </w:rPr>
              <w:t>.</w:t>
            </w:r>
          </w:p>
        </w:tc>
      </w:tr>
      <w:tr w:rsidR="000536DE" w:rsidRPr="00F53F06" w:rsidTr="005E7CC7">
        <w:trPr>
          <w:trHeight w:val="535"/>
        </w:trPr>
        <w:tc>
          <w:tcPr>
            <w:tcW w:w="2700" w:type="dxa"/>
            <w:vAlign w:val="center"/>
          </w:tcPr>
          <w:p w:rsidR="000536DE" w:rsidRDefault="000536DE" w:rsidP="00D25137">
            <w:pPr>
              <w:spacing w:before="120" w:after="120" w:line="240" w:lineRule="auto"/>
              <w:rPr>
                <w:rFonts w:eastAsia="Calibri" w:cs="Arial"/>
                <w:sz w:val="22"/>
                <w:szCs w:val="22"/>
              </w:rPr>
            </w:pPr>
            <w:r w:rsidRPr="00114920">
              <w:rPr>
                <w:rFonts w:eastAsia="Calibri" w:cs="Arial"/>
                <w:sz w:val="22"/>
                <w:szCs w:val="22"/>
              </w:rPr>
              <w:t>End-User Equipment</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E</w:t>
            </w:r>
            <w:r w:rsidRPr="00114920">
              <w:rPr>
                <w:rFonts w:eastAsia="Calibri" w:cs="Arial"/>
                <w:sz w:val="22"/>
                <w:szCs w:val="22"/>
              </w:rPr>
              <w:t xml:space="preserve">lectronic communications equipment which are of a type approved under all applicable legislation and are compliant with relevant standards having legal effect in the </w:t>
            </w:r>
            <w:r>
              <w:rPr>
                <w:rFonts w:eastAsia="Calibri" w:cs="Arial"/>
                <w:sz w:val="22"/>
                <w:szCs w:val="22"/>
              </w:rPr>
              <w:t xml:space="preserve">Sultanate </w:t>
            </w:r>
            <w:r>
              <w:rPr>
                <w:rFonts w:eastAsia="Calibri" w:cs="Arial"/>
                <w:sz w:val="22"/>
                <w:szCs w:val="22"/>
              </w:rPr>
              <w:lastRenderedPageBreak/>
              <w:t xml:space="preserve">of Oman </w:t>
            </w:r>
            <w:r w:rsidRPr="00114920">
              <w:rPr>
                <w:rFonts w:eastAsia="Calibri" w:cs="Arial"/>
                <w:sz w:val="22"/>
                <w:szCs w:val="22"/>
              </w:rPr>
              <w:t xml:space="preserve">and which are used to access </w:t>
            </w:r>
            <w:r>
              <w:rPr>
                <w:rFonts w:eastAsia="Calibri" w:cs="Arial"/>
                <w:sz w:val="22"/>
                <w:szCs w:val="22"/>
              </w:rPr>
              <w:t>services delivered under this Agreement.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lastRenderedPageBreak/>
              <w:t>End-</w:t>
            </w:r>
            <w:r w:rsidRPr="00F53F06">
              <w:rPr>
                <w:rFonts w:eastAsia="Calibri" w:cs="Arial"/>
                <w:sz w:val="22"/>
                <w:szCs w:val="22"/>
              </w:rPr>
              <w:t>User Premises</w:t>
            </w:r>
          </w:p>
        </w:tc>
        <w:tc>
          <w:tcPr>
            <w:tcW w:w="6030" w:type="dxa"/>
            <w:vAlign w:val="center"/>
          </w:tcPr>
          <w:p w:rsidR="000536DE" w:rsidRPr="00F53F06" w:rsidRDefault="004A4C66" w:rsidP="00D25137">
            <w:pPr>
              <w:spacing w:before="120" w:after="120" w:line="240" w:lineRule="auto"/>
              <w:rPr>
                <w:rFonts w:eastAsia="Calibri" w:cs="Arial"/>
                <w:sz w:val="22"/>
                <w:szCs w:val="22"/>
              </w:rPr>
            </w:pPr>
            <w:r>
              <w:rPr>
                <w:rFonts w:eastAsia="Calibri" w:cs="Arial"/>
                <w:sz w:val="22"/>
                <w:szCs w:val="22"/>
              </w:rPr>
              <w:t>T</w:t>
            </w:r>
            <w:r w:rsidR="000536DE" w:rsidRPr="00F53F06">
              <w:rPr>
                <w:rFonts w:eastAsia="Calibri" w:cs="Arial"/>
                <w:sz w:val="22"/>
                <w:szCs w:val="22"/>
              </w:rPr>
              <w:t>he location where splitter and DSL modem or other equivalent technolo</w:t>
            </w:r>
            <w:r w:rsidR="000536DE">
              <w:rPr>
                <w:rFonts w:eastAsia="Calibri" w:cs="Arial"/>
                <w:sz w:val="22"/>
                <w:szCs w:val="22"/>
              </w:rPr>
              <w:t>gy necessary to support the End-</w:t>
            </w:r>
            <w:r w:rsidR="000536DE" w:rsidRPr="00F53F06">
              <w:rPr>
                <w:rFonts w:eastAsia="Calibri" w:cs="Arial"/>
                <w:sz w:val="22"/>
                <w:szCs w:val="22"/>
              </w:rPr>
              <w:t xml:space="preserve">User ability to use </w:t>
            </w:r>
            <w:r w:rsidR="000536DE">
              <w:rPr>
                <w:rFonts w:eastAsia="Calibri" w:cs="Arial"/>
                <w:sz w:val="22"/>
                <w:szCs w:val="22"/>
              </w:rPr>
              <w:t xml:space="preserve">the Services. </w:t>
            </w:r>
          </w:p>
        </w:tc>
      </w:tr>
      <w:tr w:rsidR="000536DE" w:rsidRPr="00F53F06" w:rsidTr="005E7CC7">
        <w:trPr>
          <w:trHeight w:val="535"/>
        </w:trPr>
        <w:tc>
          <w:tcPr>
            <w:tcW w:w="2700" w:type="dxa"/>
            <w:vAlign w:val="center"/>
          </w:tcPr>
          <w:p w:rsidR="000536DE" w:rsidRPr="00D406DD" w:rsidRDefault="000536DE" w:rsidP="00D25137">
            <w:pPr>
              <w:spacing w:before="120" w:after="120" w:line="240" w:lineRule="auto"/>
              <w:rPr>
                <w:rFonts w:eastAsia="Calibri" w:cs="Arial"/>
                <w:sz w:val="22"/>
                <w:szCs w:val="22"/>
              </w:rPr>
            </w:pPr>
            <w:r>
              <w:rPr>
                <w:rFonts w:eastAsia="Calibri" w:cs="Arial"/>
                <w:sz w:val="22"/>
                <w:szCs w:val="22"/>
              </w:rPr>
              <w:t>Fraud</w:t>
            </w:r>
          </w:p>
        </w:tc>
        <w:tc>
          <w:tcPr>
            <w:tcW w:w="6030" w:type="dxa"/>
            <w:vAlign w:val="center"/>
          </w:tcPr>
          <w:p w:rsidR="000536DE" w:rsidRDefault="000536DE" w:rsidP="00005446">
            <w:pPr>
              <w:spacing w:before="120" w:after="120" w:line="240" w:lineRule="auto"/>
              <w:rPr>
                <w:rFonts w:eastAsia="Calibri" w:cs="Arial"/>
                <w:sz w:val="22"/>
                <w:szCs w:val="22"/>
              </w:rPr>
            </w:pPr>
            <w:r>
              <w:rPr>
                <w:rFonts w:eastAsia="Calibri" w:cs="Arial"/>
                <w:sz w:val="22"/>
                <w:szCs w:val="22"/>
              </w:rPr>
              <w:t>A</w:t>
            </w:r>
            <w:r w:rsidRPr="003B774C">
              <w:rPr>
                <w:rFonts w:eastAsia="Calibri" w:cs="Arial"/>
                <w:sz w:val="22"/>
                <w:szCs w:val="22"/>
              </w:rPr>
              <w:t xml:space="preserve">ny fraudulent, corrupt, dishonest, illegal or other </w:t>
            </w:r>
            <w:proofErr w:type="spellStart"/>
            <w:r w:rsidRPr="003B774C">
              <w:rPr>
                <w:rFonts w:eastAsia="Calibri" w:cs="Arial"/>
                <w:sz w:val="22"/>
                <w:szCs w:val="22"/>
              </w:rPr>
              <w:t>unauthorised</w:t>
            </w:r>
            <w:proofErr w:type="spellEnd"/>
            <w:r w:rsidRPr="003B774C">
              <w:rPr>
                <w:rFonts w:eastAsia="Calibri" w:cs="Arial"/>
                <w:sz w:val="22"/>
                <w:szCs w:val="22"/>
              </w:rPr>
              <w:t xml:space="preserve"> use (whether actual or attempted) of </w:t>
            </w:r>
            <w:r>
              <w:rPr>
                <w:rFonts w:eastAsia="Calibri" w:cs="Arial"/>
                <w:sz w:val="22"/>
                <w:szCs w:val="22"/>
              </w:rPr>
              <w:t>the</w:t>
            </w:r>
            <w:r w:rsidRPr="003B774C">
              <w:rPr>
                <w:rFonts w:eastAsia="Calibri" w:cs="Arial"/>
                <w:sz w:val="22"/>
                <w:szCs w:val="22"/>
              </w:rPr>
              <w:t xml:space="preserve"> Services</w:t>
            </w:r>
            <w:r>
              <w:rPr>
                <w:rFonts w:eastAsia="Calibri" w:cs="Arial"/>
                <w:sz w:val="22"/>
                <w:szCs w:val="22"/>
              </w:rPr>
              <w:t xml:space="preserve"> provided by </w:t>
            </w:r>
            <w:proofErr w:type="gramStart"/>
            <w:r>
              <w:rPr>
                <w:rFonts w:eastAsia="Calibri" w:cs="Arial"/>
                <w:sz w:val="22"/>
                <w:szCs w:val="22"/>
              </w:rPr>
              <w:t xml:space="preserve">the </w:t>
            </w:r>
            <w:r w:rsidRPr="003B774C">
              <w:rPr>
                <w:rFonts w:eastAsia="Calibri" w:cs="Arial"/>
                <w:sz w:val="22"/>
                <w:szCs w:val="22"/>
              </w:rPr>
              <w:t xml:space="preserve"> Providing</w:t>
            </w:r>
            <w:proofErr w:type="gramEnd"/>
            <w:r w:rsidRPr="003B774C">
              <w:rPr>
                <w:rFonts w:eastAsia="Calibri" w:cs="Arial"/>
                <w:sz w:val="22"/>
                <w:szCs w:val="22"/>
              </w:rPr>
              <w:t xml:space="preserve"> Party</w:t>
            </w:r>
            <w:r>
              <w:rPr>
                <w:rFonts w:eastAsia="Calibri" w:cs="Arial"/>
                <w:sz w:val="22"/>
                <w:szCs w:val="22"/>
              </w:rPr>
              <w:t xml:space="preserve"> including the illegal use of </w:t>
            </w:r>
            <w:r w:rsidR="00005446">
              <w:rPr>
                <w:rFonts w:eastAsia="Calibri" w:cs="Arial"/>
                <w:sz w:val="22"/>
                <w:szCs w:val="22"/>
              </w:rPr>
              <w:t>P</w:t>
            </w:r>
            <w:r>
              <w:rPr>
                <w:rFonts w:eastAsia="Calibri" w:cs="Arial"/>
                <w:sz w:val="22"/>
                <w:szCs w:val="22"/>
              </w:rPr>
              <w:t xml:space="preserve">roviding </w:t>
            </w:r>
            <w:r w:rsidR="00005446">
              <w:rPr>
                <w:rFonts w:eastAsia="Calibri" w:cs="Arial"/>
                <w:sz w:val="22"/>
                <w:szCs w:val="22"/>
              </w:rPr>
              <w:t>P</w:t>
            </w:r>
            <w:r>
              <w:rPr>
                <w:rFonts w:eastAsia="Calibri" w:cs="Arial"/>
                <w:sz w:val="22"/>
                <w:szCs w:val="22"/>
              </w:rPr>
              <w:t xml:space="preserve">arty </w:t>
            </w:r>
            <w:r w:rsidR="00005446">
              <w:rPr>
                <w:rFonts w:eastAsia="Calibri" w:cs="Arial"/>
                <w:sz w:val="22"/>
                <w:szCs w:val="22"/>
              </w:rPr>
              <w:t>N</w:t>
            </w:r>
            <w:r>
              <w:rPr>
                <w:rFonts w:eastAsia="Calibri" w:cs="Arial"/>
                <w:sz w:val="22"/>
                <w:szCs w:val="22"/>
              </w:rPr>
              <w:t>etwork</w:t>
            </w:r>
            <w:r w:rsidRPr="003B774C">
              <w:rPr>
                <w:rFonts w:eastAsia="Calibri" w:cs="Arial"/>
                <w:sz w:val="22"/>
                <w:szCs w:val="22"/>
              </w:rPr>
              <w:t>, SIM Cards, vouchers, recharge codes or End-User Equipment, SIM boxes / GSM gateways and any other devices that might negatively impact the Providing Party</w:t>
            </w:r>
            <w:r>
              <w:rPr>
                <w:rFonts w:eastAsia="Calibri" w:cs="Arial"/>
                <w:sz w:val="22"/>
                <w:szCs w:val="22"/>
              </w:rPr>
              <w:t>’s</w:t>
            </w:r>
            <w:r w:rsidRPr="003B774C">
              <w:rPr>
                <w:rFonts w:eastAsia="Calibri" w:cs="Arial"/>
                <w:sz w:val="22"/>
                <w:szCs w:val="22"/>
              </w:rPr>
              <w:t xml:space="preserve"> Network</w:t>
            </w:r>
            <w:r>
              <w:rPr>
                <w:rFonts w:eastAsia="Calibri" w:cs="Arial"/>
                <w:sz w:val="22"/>
                <w:szCs w:val="22"/>
              </w:rPr>
              <w:t xml:space="preserve">, revenue </w:t>
            </w:r>
            <w:r w:rsidRPr="003B774C">
              <w:rPr>
                <w:rFonts w:eastAsia="Calibri" w:cs="Arial"/>
                <w:sz w:val="22"/>
                <w:szCs w:val="22"/>
              </w:rPr>
              <w:t>or degrade the quality of Providing Party Services</w:t>
            </w:r>
            <w:r w:rsidR="00005446">
              <w:rPr>
                <w:rFonts w:eastAsia="Calibri" w:cs="Arial"/>
                <w:sz w:val="22"/>
                <w:szCs w:val="22"/>
              </w:rPr>
              <w:t xml:space="preserve">. </w:t>
            </w:r>
            <w:r>
              <w:rPr>
                <w:rFonts w:eastAsia="Calibri" w:cs="Arial"/>
                <w:sz w:val="22"/>
                <w:szCs w:val="22"/>
              </w:rPr>
              <w:t xml:space="preserve"> </w:t>
            </w:r>
            <w:r w:rsidR="00005446">
              <w:rPr>
                <w:rFonts w:eastAsia="Calibri" w:cs="Arial"/>
                <w:sz w:val="22"/>
                <w:szCs w:val="22"/>
              </w:rPr>
              <w:t>S</w:t>
            </w:r>
            <w:r>
              <w:rPr>
                <w:rFonts w:eastAsia="Calibri" w:cs="Arial"/>
                <w:sz w:val="22"/>
                <w:szCs w:val="22"/>
              </w:rPr>
              <w:t xml:space="preserve">ervices </w:t>
            </w:r>
            <w:r w:rsidR="00005446">
              <w:rPr>
                <w:rFonts w:eastAsia="Calibri" w:cs="Arial"/>
                <w:sz w:val="22"/>
                <w:szCs w:val="22"/>
              </w:rPr>
              <w:t xml:space="preserve">which </w:t>
            </w:r>
            <w:r>
              <w:rPr>
                <w:rFonts w:eastAsia="Calibri" w:cs="Arial"/>
                <w:sz w:val="22"/>
                <w:szCs w:val="22"/>
              </w:rPr>
              <w:t>shall be illegal and therefore constitute fraud</w:t>
            </w:r>
            <w:r w:rsidR="00005446">
              <w:rPr>
                <w:rFonts w:eastAsia="Calibri" w:cs="Arial"/>
                <w:sz w:val="22"/>
                <w:szCs w:val="22"/>
              </w:rPr>
              <w:t xml:space="preserve"> include but are not limited to the following</w:t>
            </w:r>
            <w:r>
              <w:rPr>
                <w:rFonts w:eastAsia="Calibri" w:cs="Arial"/>
                <w:sz w:val="22"/>
                <w:szCs w:val="22"/>
              </w:rPr>
              <w:t xml:space="preserve">: (a) any service which is not covered in the license of </w:t>
            </w:r>
            <w:r w:rsidR="00005446">
              <w:rPr>
                <w:rFonts w:eastAsia="Calibri" w:cs="Arial"/>
                <w:sz w:val="22"/>
                <w:szCs w:val="22"/>
              </w:rPr>
              <w:t>the R</w:t>
            </w:r>
            <w:r>
              <w:rPr>
                <w:rFonts w:eastAsia="Calibri" w:cs="Arial"/>
                <w:sz w:val="22"/>
                <w:szCs w:val="22"/>
              </w:rPr>
              <w:t xml:space="preserve">equesting </w:t>
            </w:r>
            <w:r w:rsidR="00005446">
              <w:rPr>
                <w:rFonts w:eastAsia="Calibri" w:cs="Arial"/>
                <w:sz w:val="22"/>
                <w:szCs w:val="22"/>
              </w:rPr>
              <w:t>P</w:t>
            </w:r>
            <w:r>
              <w:rPr>
                <w:rFonts w:eastAsia="Calibri" w:cs="Arial"/>
                <w:sz w:val="22"/>
                <w:szCs w:val="22"/>
              </w:rPr>
              <w:t xml:space="preserve">arty but is provided to </w:t>
            </w:r>
            <w:r w:rsidR="00005446">
              <w:rPr>
                <w:rFonts w:eastAsia="Calibri" w:cs="Arial"/>
                <w:sz w:val="22"/>
                <w:szCs w:val="22"/>
              </w:rPr>
              <w:t>E-</w:t>
            </w:r>
            <w:proofErr w:type="spellStart"/>
            <w:r>
              <w:rPr>
                <w:rFonts w:eastAsia="Calibri" w:cs="Arial"/>
                <w:sz w:val="22"/>
                <w:szCs w:val="22"/>
              </w:rPr>
              <w:t>nd</w:t>
            </w:r>
            <w:proofErr w:type="spellEnd"/>
            <w:r w:rsidR="00005446">
              <w:rPr>
                <w:rFonts w:eastAsia="Calibri" w:cs="Arial"/>
                <w:sz w:val="22"/>
                <w:szCs w:val="22"/>
              </w:rPr>
              <w:t>-U</w:t>
            </w:r>
            <w:r>
              <w:rPr>
                <w:rFonts w:eastAsia="Calibri" w:cs="Arial"/>
                <w:sz w:val="22"/>
                <w:szCs w:val="22"/>
              </w:rPr>
              <w:t xml:space="preserve">sers without </w:t>
            </w:r>
            <w:r w:rsidR="00005446">
              <w:rPr>
                <w:rFonts w:eastAsia="Calibri" w:cs="Arial"/>
                <w:sz w:val="22"/>
                <w:szCs w:val="22"/>
              </w:rPr>
              <w:t>and Access and Interconnection</w:t>
            </w:r>
            <w:r>
              <w:rPr>
                <w:rFonts w:eastAsia="Calibri" w:cs="Arial"/>
                <w:sz w:val="22"/>
                <w:szCs w:val="22"/>
              </w:rPr>
              <w:t xml:space="preserve"> </w:t>
            </w:r>
            <w:r w:rsidR="00005446">
              <w:rPr>
                <w:rFonts w:eastAsia="Calibri" w:cs="Arial"/>
                <w:sz w:val="22"/>
                <w:szCs w:val="22"/>
              </w:rPr>
              <w:t>A</w:t>
            </w:r>
            <w:r>
              <w:rPr>
                <w:rFonts w:eastAsia="Calibri" w:cs="Arial"/>
                <w:sz w:val="22"/>
                <w:szCs w:val="22"/>
              </w:rPr>
              <w:t xml:space="preserve">greement with </w:t>
            </w:r>
            <w:r w:rsidR="00005446">
              <w:rPr>
                <w:rFonts w:eastAsia="Calibri" w:cs="Arial"/>
                <w:sz w:val="22"/>
                <w:szCs w:val="22"/>
              </w:rPr>
              <w:t>P</w:t>
            </w:r>
            <w:r>
              <w:rPr>
                <w:rFonts w:eastAsia="Calibri" w:cs="Arial"/>
                <w:sz w:val="22"/>
                <w:szCs w:val="22"/>
              </w:rPr>
              <w:t xml:space="preserve">roviding </w:t>
            </w:r>
            <w:r w:rsidR="00005446">
              <w:rPr>
                <w:rFonts w:eastAsia="Calibri" w:cs="Arial"/>
                <w:sz w:val="22"/>
                <w:szCs w:val="22"/>
              </w:rPr>
              <w:t>P</w:t>
            </w:r>
            <w:r>
              <w:rPr>
                <w:rFonts w:eastAsia="Calibri" w:cs="Arial"/>
                <w:sz w:val="22"/>
                <w:szCs w:val="22"/>
              </w:rPr>
              <w:t>arty</w:t>
            </w:r>
            <w:r w:rsidR="00005446">
              <w:rPr>
                <w:rFonts w:eastAsia="Calibri" w:cs="Arial"/>
                <w:sz w:val="22"/>
                <w:szCs w:val="22"/>
              </w:rPr>
              <w:t>; and</w:t>
            </w:r>
            <w:r>
              <w:rPr>
                <w:rFonts w:eastAsia="Calibri" w:cs="Arial"/>
                <w:sz w:val="22"/>
                <w:szCs w:val="22"/>
              </w:rPr>
              <w:t xml:space="preserve"> (b) any service which is explicitly forbidden in the </w:t>
            </w:r>
            <w:r w:rsidR="00005446">
              <w:rPr>
                <w:rFonts w:eastAsia="Calibri" w:cs="Arial"/>
                <w:sz w:val="22"/>
                <w:szCs w:val="22"/>
              </w:rPr>
              <w:t>Access and Interconnection</w:t>
            </w:r>
            <w:r>
              <w:rPr>
                <w:rFonts w:eastAsia="Calibri" w:cs="Arial"/>
                <w:sz w:val="22"/>
                <w:szCs w:val="22"/>
              </w:rPr>
              <w:t xml:space="preserve"> </w:t>
            </w:r>
            <w:r w:rsidR="00005446">
              <w:rPr>
                <w:rFonts w:eastAsia="Calibri" w:cs="Arial"/>
                <w:sz w:val="22"/>
                <w:szCs w:val="22"/>
              </w:rPr>
              <w:t>A</w:t>
            </w:r>
            <w:r>
              <w:rPr>
                <w:rFonts w:eastAsia="Calibri" w:cs="Arial"/>
                <w:sz w:val="22"/>
                <w:szCs w:val="22"/>
              </w:rPr>
              <w:t xml:space="preserve">greement but the </w:t>
            </w:r>
            <w:r w:rsidR="00005446">
              <w:rPr>
                <w:rFonts w:eastAsia="Calibri" w:cs="Arial"/>
                <w:sz w:val="22"/>
                <w:szCs w:val="22"/>
              </w:rPr>
              <w:t>R</w:t>
            </w:r>
            <w:r>
              <w:rPr>
                <w:rFonts w:eastAsia="Calibri" w:cs="Arial"/>
                <w:sz w:val="22"/>
                <w:szCs w:val="22"/>
              </w:rPr>
              <w:t xml:space="preserve">equesting </w:t>
            </w:r>
            <w:r w:rsidR="00005446">
              <w:rPr>
                <w:rFonts w:eastAsia="Calibri" w:cs="Arial"/>
                <w:sz w:val="22"/>
                <w:szCs w:val="22"/>
              </w:rPr>
              <w:t>P</w:t>
            </w:r>
            <w:r>
              <w:rPr>
                <w:rFonts w:eastAsia="Calibri" w:cs="Arial"/>
                <w:sz w:val="22"/>
                <w:szCs w:val="22"/>
              </w:rPr>
              <w:t xml:space="preserve">arty provides it without </w:t>
            </w:r>
            <w:r w:rsidR="00005446">
              <w:rPr>
                <w:rFonts w:eastAsia="Calibri" w:cs="Arial"/>
                <w:sz w:val="22"/>
                <w:szCs w:val="22"/>
              </w:rPr>
              <w:t xml:space="preserve">the </w:t>
            </w:r>
            <w:r>
              <w:rPr>
                <w:rFonts w:eastAsia="Calibri" w:cs="Arial"/>
                <w:sz w:val="22"/>
                <w:szCs w:val="22"/>
              </w:rPr>
              <w:t xml:space="preserve">approval of </w:t>
            </w:r>
            <w:r w:rsidR="00005446">
              <w:rPr>
                <w:rFonts w:eastAsia="Calibri" w:cs="Arial"/>
                <w:sz w:val="22"/>
                <w:szCs w:val="22"/>
              </w:rPr>
              <w:t>the P</w:t>
            </w:r>
            <w:r>
              <w:rPr>
                <w:rFonts w:eastAsia="Calibri" w:cs="Arial"/>
                <w:sz w:val="22"/>
                <w:szCs w:val="22"/>
              </w:rPr>
              <w:t xml:space="preserve">roviding </w:t>
            </w:r>
            <w:r w:rsidR="00005446">
              <w:rPr>
                <w:rFonts w:eastAsia="Calibri" w:cs="Arial"/>
                <w:sz w:val="22"/>
                <w:szCs w:val="22"/>
              </w:rPr>
              <w:t>P</w:t>
            </w:r>
            <w:r>
              <w:rPr>
                <w:rFonts w:eastAsia="Calibri" w:cs="Arial"/>
                <w:sz w:val="22"/>
                <w:szCs w:val="22"/>
              </w:rPr>
              <w:t xml:space="preserve">arty. </w:t>
            </w:r>
          </w:p>
        </w:tc>
      </w:tr>
      <w:tr w:rsidR="000536DE" w:rsidRPr="00F53F06" w:rsidTr="005E7CC7">
        <w:trPr>
          <w:trHeight w:val="535"/>
        </w:trPr>
        <w:tc>
          <w:tcPr>
            <w:tcW w:w="2700" w:type="dxa"/>
            <w:vAlign w:val="center"/>
          </w:tcPr>
          <w:p w:rsidR="000536DE" w:rsidRPr="00D406DD" w:rsidRDefault="000536DE" w:rsidP="00D25137">
            <w:pPr>
              <w:spacing w:before="120" w:after="120" w:line="240" w:lineRule="auto"/>
              <w:rPr>
                <w:rFonts w:eastAsia="Calibri" w:cs="Arial"/>
                <w:sz w:val="22"/>
                <w:szCs w:val="22"/>
              </w:rPr>
            </w:pPr>
            <w:r w:rsidRPr="008F67A9">
              <w:rPr>
                <w:rFonts w:eastAsia="Calibri" w:cs="Arial"/>
                <w:sz w:val="22"/>
                <w:szCs w:val="22"/>
              </w:rPr>
              <w:t>Fraud Prevention Initiatives</w:t>
            </w:r>
          </w:p>
        </w:tc>
        <w:tc>
          <w:tcPr>
            <w:tcW w:w="6030" w:type="dxa"/>
            <w:vAlign w:val="center"/>
          </w:tcPr>
          <w:p w:rsidR="000536DE" w:rsidRDefault="000536DE" w:rsidP="00D25137">
            <w:pPr>
              <w:spacing w:before="120" w:after="120" w:line="240" w:lineRule="auto"/>
              <w:rPr>
                <w:rFonts w:eastAsia="Calibri" w:cs="Arial"/>
                <w:sz w:val="22"/>
                <w:szCs w:val="22"/>
              </w:rPr>
            </w:pPr>
            <w:r>
              <w:rPr>
                <w:rFonts w:eastAsia="Calibri" w:cs="Arial"/>
                <w:sz w:val="22"/>
                <w:szCs w:val="22"/>
              </w:rPr>
              <w:t>T</w:t>
            </w:r>
            <w:r w:rsidRPr="008F67A9">
              <w:rPr>
                <w:rFonts w:eastAsia="Calibri" w:cs="Arial"/>
                <w:sz w:val="22"/>
                <w:szCs w:val="22"/>
              </w:rPr>
              <w:t xml:space="preserve">he </w:t>
            </w:r>
            <w:r>
              <w:rPr>
                <w:rFonts w:eastAsia="Calibri" w:cs="Arial"/>
                <w:sz w:val="22"/>
                <w:szCs w:val="22"/>
              </w:rPr>
              <w:t>initiatives operated by either P</w:t>
            </w:r>
            <w:r w:rsidRPr="008F67A9">
              <w:rPr>
                <w:rFonts w:eastAsia="Calibri" w:cs="Arial"/>
                <w:sz w:val="22"/>
                <w:szCs w:val="22"/>
              </w:rPr>
              <w:t>arty</w:t>
            </w:r>
            <w:r>
              <w:rPr>
                <w:rFonts w:eastAsia="Calibri" w:cs="Arial"/>
                <w:sz w:val="22"/>
                <w:szCs w:val="22"/>
              </w:rPr>
              <w:t xml:space="preserve">, </w:t>
            </w:r>
            <w:r w:rsidRPr="008F67A9">
              <w:rPr>
                <w:rFonts w:eastAsia="Calibri" w:cs="Arial"/>
                <w:sz w:val="22"/>
                <w:szCs w:val="22"/>
              </w:rPr>
              <w:t xml:space="preserve">or by </w:t>
            </w:r>
            <w:r>
              <w:rPr>
                <w:rFonts w:eastAsia="Calibri" w:cs="Arial"/>
                <w:sz w:val="22"/>
                <w:szCs w:val="22"/>
              </w:rPr>
              <w:t>Third Party Operators</w:t>
            </w:r>
            <w:r w:rsidRPr="008F67A9">
              <w:rPr>
                <w:rFonts w:eastAsia="Calibri" w:cs="Arial"/>
                <w:sz w:val="22"/>
                <w:szCs w:val="22"/>
              </w:rPr>
              <w:t xml:space="preserve">, to assist in the detection or prevention of Fraud from time to time and duly notified to the other </w:t>
            </w:r>
            <w:r w:rsidR="00005446">
              <w:rPr>
                <w:rFonts w:eastAsia="Calibri" w:cs="Arial"/>
                <w:sz w:val="22"/>
                <w:szCs w:val="22"/>
              </w:rPr>
              <w:t>P</w:t>
            </w:r>
            <w:r w:rsidRPr="008F67A9">
              <w:rPr>
                <w:rFonts w:eastAsia="Calibri" w:cs="Arial"/>
                <w:sz w:val="22"/>
                <w:szCs w:val="22"/>
              </w:rPr>
              <w:t>arty</w:t>
            </w:r>
            <w:r w:rsidR="00005446">
              <w:rPr>
                <w:rFonts w:eastAsia="Calibri" w:cs="Arial"/>
                <w:sz w:val="22"/>
                <w:szCs w:val="22"/>
              </w:rPr>
              <w:t>.</w:t>
            </w:r>
          </w:p>
        </w:tc>
      </w:tr>
      <w:tr w:rsidR="000536DE" w:rsidRPr="00F53F06" w:rsidTr="005E7CC7">
        <w:trPr>
          <w:trHeight w:val="535"/>
        </w:trPr>
        <w:tc>
          <w:tcPr>
            <w:tcW w:w="2700" w:type="dxa"/>
            <w:vAlign w:val="center"/>
          </w:tcPr>
          <w:p w:rsidR="000536DE" w:rsidRDefault="000536DE" w:rsidP="00D25137">
            <w:pPr>
              <w:spacing w:before="120" w:after="120" w:line="240" w:lineRule="auto"/>
              <w:rPr>
                <w:rFonts w:eastAsia="Calibri" w:cs="Arial"/>
                <w:sz w:val="22"/>
                <w:szCs w:val="22"/>
              </w:rPr>
            </w:pPr>
            <w:r w:rsidRPr="00D406DD">
              <w:rPr>
                <w:rFonts w:eastAsia="Calibri" w:cs="Arial"/>
                <w:sz w:val="22"/>
                <w:szCs w:val="22"/>
              </w:rPr>
              <w:t>General Packet Radio Service</w:t>
            </w:r>
            <w:r>
              <w:rPr>
                <w:rFonts w:eastAsia="Calibri" w:cs="Arial"/>
                <w:sz w:val="22"/>
                <w:szCs w:val="22"/>
              </w:rPr>
              <w:t xml:space="preserve"> (GPRS)</w:t>
            </w:r>
          </w:p>
        </w:tc>
        <w:tc>
          <w:tcPr>
            <w:tcW w:w="6030" w:type="dxa"/>
            <w:vAlign w:val="center"/>
          </w:tcPr>
          <w:p w:rsidR="000536DE" w:rsidRDefault="000536DE" w:rsidP="00D25137">
            <w:pPr>
              <w:spacing w:before="120" w:after="120" w:line="240" w:lineRule="auto"/>
              <w:rPr>
                <w:rFonts w:eastAsia="Calibri" w:cs="Arial"/>
                <w:sz w:val="22"/>
                <w:szCs w:val="22"/>
              </w:rPr>
            </w:pPr>
            <w:r>
              <w:rPr>
                <w:rFonts w:eastAsia="Calibri" w:cs="Arial"/>
                <w:sz w:val="22"/>
                <w:szCs w:val="22"/>
              </w:rPr>
              <w:t xml:space="preserve">All </w:t>
            </w:r>
            <w:r w:rsidRPr="001D561C">
              <w:rPr>
                <w:rFonts w:eastAsia="Calibri" w:cs="Arial"/>
                <w:sz w:val="22"/>
                <w:szCs w:val="22"/>
              </w:rPr>
              <w:t xml:space="preserve">data services over the Providing Party </w:t>
            </w:r>
            <w:r>
              <w:rPr>
                <w:rFonts w:eastAsia="Calibri" w:cs="Arial"/>
                <w:sz w:val="22"/>
                <w:szCs w:val="22"/>
              </w:rPr>
              <w:t xml:space="preserve">Mobile </w:t>
            </w:r>
            <w:r w:rsidRPr="001D561C">
              <w:rPr>
                <w:rFonts w:eastAsia="Calibri" w:cs="Arial"/>
                <w:sz w:val="22"/>
                <w:szCs w:val="22"/>
              </w:rPr>
              <w:t>Network</w:t>
            </w:r>
            <w:r>
              <w:rPr>
                <w:rFonts w:eastAsia="Calibri" w:cs="Arial"/>
                <w:sz w:val="22"/>
                <w:szCs w:val="22"/>
              </w:rPr>
              <w: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Handover distribution frame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An intermediary distribution frame which connects collocated equipment with the Main distribution frame.</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956A8E">
              <w:rPr>
                <w:rFonts w:eastAsia="Calibri" w:cs="Arial"/>
                <w:sz w:val="22"/>
                <w:szCs w:val="22"/>
              </w:rPr>
              <w:t>GSM Association Permanent Reference Documents</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T</w:t>
            </w:r>
            <w:r w:rsidRPr="00956A8E">
              <w:rPr>
                <w:rFonts w:eastAsia="Calibri" w:cs="Arial"/>
                <w:sz w:val="22"/>
                <w:szCs w:val="22"/>
              </w:rPr>
              <w:t>he documents established and classified as binding as at the Commencement Date by the GSM Association Plenary</w:t>
            </w:r>
            <w:r w:rsidR="00005446">
              <w:rPr>
                <w:rFonts w:eastAsia="Calibri" w:cs="Arial"/>
                <w:sz w:val="22"/>
                <w:szCs w:val="22"/>
              </w:rPr>
              <w: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956A8E">
              <w:rPr>
                <w:rFonts w:eastAsia="Calibri" w:cs="Arial"/>
                <w:sz w:val="22"/>
                <w:szCs w:val="22"/>
              </w:rPr>
              <w:t>GSM Association Plenary</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T</w:t>
            </w:r>
            <w:r w:rsidRPr="00956A8E">
              <w:rPr>
                <w:rFonts w:eastAsia="Calibri" w:cs="Arial"/>
                <w:sz w:val="22"/>
                <w:szCs w:val="22"/>
              </w:rPr>
              <w:t>he group of appointed representatives of the signatories of the GSM Association</w:t>
            </w:r>
            <w:r w:rsidR="00005446">
              <w:rPr>
                <w:rFonts w:eastAsia="Calibri" w:cs="Arial"/>
                <w:sz w:val="22"/>
                <w:szCs w:val="22"/>
              </w:rPr>
              <w: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Handset</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A</w:t>
            </w:r>
            <w:r w:rsidRPr="001D561C">
              <w:rPr>
                <w:rFonts w:eastAsia="Calibri" w:cs="Arial"/>
                <w:sz w:val="22"/>
                <w:szCs w:val="22"/>
              </w:rPr>
              <w:t xml:space="preserve"> mobile electronic communications handset or other customer terminal equipment or device</w:t>
            </w:r>
            <w:r w:rsidR="00005446">
              <w:rPr>
                <w:rFonts w:eastAsia="Calibri" w:cs="Arial"/>
                <w:sz w:val="22"/>
                <w:szCs w:val="22"/>
              </w:rPr>
              <w: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lastRenderedPageBreak/>
              <w:t>Intellectual Property</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Any patent, copyright, design, trade name, trademark, service mark or other intellectual property right (whether registered or not) including without limitation ideas, concepts, know-how, techniques, designs, specifications, drawings, blueprints, tracings, diagrams, models and other information relating to any such intellectual property.</w:t>
            </w:r>
          </w:p>
        </w:tc>
      </w:tr>
      <w:tr w:rsidR="000536DE" w:rsidRPr="00F53F06" w:rsidTr="005E7CC7">
        <w:trPr>
          <w:trHeight w:val="535"/>
        </w:trPr>
        <w:tc>
          <w:tcPr>
            <w:tcW w:w="2700" w:type="dxa"/>
            <w:vAlign w:val="center"/>
          </w:tcPr>
          <w:p w:rsidR="000536DE" w:rsidRPr="004D0719" w:rsidRDefault="000536DE" w:rsidP="00D25137">
            <w:pPr>
              <w:spacing w:before="120" w:after="120" w:line="240" w:lineRule="auto"/>
              <w:rPr>
                <w:rFonts w:eastAsia="Calibri" w:cs="Arial"/>
                <w:sz w:val="22"/>
                <w:szCs w:val="22"/>
              </w:rPr>
            </w:pPr>
            <w:r w:rsidRPr="004D0719">
              <w:rPr>
                <w:rFonts w:eastAsia="Calibri" w:cs="Arial"/>
                <w:sz w:val="22"/>
                <w:szCs w:val="22"/>
              </w:rPr>
              <w:t>Interconnect STPs Mobile</w:t>
            </w:r>
          </w:p>
        </w:tc>
        <w:tc>
          <w:tcPr>
            <w:tcW w:w="6030" w:type="dxa"/>
            <w:vAlign w:val="center"/>
          </w:tcPr>
          <w:p w:rsidR="000536DE" w:rsidRPr="004D0719" w:rsidRDefault="000536DE" w:rsidP="00D25137">
            <w:pPr>
              <w:spacing w:before="120" w:after="120" w:line="240" w:lineRule="auto"/>
              <w:rPr>
                <w:rFonts w:eastAsia="Calibri" w:cs="Arial"/>
                <w:sz w:val="22"/>
                <w:szCs w:val="22"/>
              </w:rPr>
            </w:pPr>
            <w:r w:rsidRPr="004D0719">
              <w:rPr>
                <w:rFonts w:eastAsia="Calibri" w:cs="Arial"/>
                <w:sz w:val="22"/>
                <w:szCs w:val="22"/>
              </w:rPr>
              <w:t>Signaling interconnection points at POI for mobile network.</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Interconnect STPs PSTN</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Signaling interconnection points at POI for fixed network.</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Interconnection</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The </w:t>
            </w:r>
            <w:r w:rsidRPr="00FA51D2">
              <w:rPr>
                <w:rFonts w:eastAsia="Calibri" w:cs="Arial"/>
                <w:sz w:val="22"/>
                <w:szCs w:val="22"/>
              </w:rPr>
              <w:t xml:space="preserve">physical and logical linking </w:t>
            </w:r>
            <w:r w:rsidRPr="00F53F06" w:rsidDel="00FA51D2">
              <w:rPr>
                <w:rFonts w:eastAsia="Calibri" w:cs="Arial"/>
                <w:sz w:val="22"/>
                <w:szCs w:val="22"/>
              </w:rPr>
              <w:t xml:space="preserve">connection </w:t>
            </w:r>
            <w:r w:rsidRPr="00F53F06">
              <w:rPr>
                <w:rFonts w:eastAsia="Calibri" w:cs="Arial"/>
                <w:sz w:val="22"/>
                <w:szCs w:val="22"/>
              </w:rPr>
              <w:t xml:space="preserve">of the </w:t>
            </w:r>
            <w:r>
              <w:rPr>
                <w:rFonts w:eastAsia="Calibri" w:cs="Arial"/>
                <w:sz w:val="22"/>
                <w:szCs w:val="22"/>
              </w:rPr>
              <w:t>Providing Party</w:t>
            </w:r>
            <w:r w:rsidRPr="00F53F06">
              <w:rPr>
                <w:rFonts w:eastAsia="Calibri" w:cs="Arial"/>
                <w:sz w:val="22"/>
                <w:szCs w:val="22"/>
              </w:rPr>
              <w:t xml:space="preserve"> and </w:t>
            </w:r>
            <w:r>
              <w:rPr>
                <w:rFonts w:eastAsia="Calibri" w:cs="Arial"/>
                <w:sz w:val="22"/>
                <w:szCs w:val="22"/>
              </w:rPr>
              <w:t>Requesting Party</w:t>
            </w:r>
            <w:r w:rsidRPr="00F53F06">
              <w:rPr>
                <w:rFonts w:eastAsia="Calibri" w:cs="Arial"/>
                <w:sz w:val="22"/>
                <w:szCs w:val="22"/>
              </w:rPr>
              <w:t xml:space="preserve"> Networks</w:t>
            </w:r>
            <w:r>
              <w:rPr>
                <w:rFonts w:eastAsia="Calibri" w:cs="Arial"/>
                <w:sz w:val="22"/>
                <w:szCs w:val="22"/>
              </w:rPr>
              <w:t xml:space="preserve">, or </w:t>
            </w:r>
            <w:r w:rsidRPr="00FA51D2">
              <w:rPr>
                <w:rFonts w:eastAsia="Calibri" w:cs="Arial"/>
                <w:sz w:val="22"/>
                <w:szCs w:val="22"/>
              </w:rPr>
              <w:t xml:space="preserve">the Providing Party Network to and with </w:t>
            </w:r>
            <w:r>
              <w:rPr>
                <w:rFonts w:eastAsia="Calibri" w:cs="Arial"/>
                <w:sz w:val="22"/>
                <w:szCs w:val="22"/>
              </w:rPr>
              <w:t>Third Party Operators’</w:t>
            </w:r>
            <w:r w:rsidRPr="00FA51D2">
              <w:rPr>
                <w:rFonts w:eastAsia="Calibri" w:cs="Arial"/>
                <w:sz w:val="22"/>
                <w:szCs w:val="22"/>
              </w:rPr>
              <w:t xml:space="preserve"> network</w:t>
            </w:r>
            <w:r>
              <w:rPr>
                <w:rFonts w:eastAsia="Calibri" w:cs="Arial"/>
                <w:sz w:val="22"/>
                <w:szCs w:val="22"/>
              </w:rPr>
              <w:t>s,</w:t>
            </w:r>
            <w:r w:rsidRPr="00F53F06">
              <w:rPr>
                <w:rFonts w:eastAsia="Calibri" w:cs="Arial"/>
                <w:sz w:val="22"/>
                <w:szCs w:val="22"/>
              </w:rPr>
              <w:t xml:space="preserve"> for the conveyance of the telecommunications traffic </w:t>
            </w:r>
            <w:r w:rsidRPr="00EE0EDD">
              <w:rPr>
                <w:rFonts w:eastAsia="Calibri" w:cs="Arial"/>
                <w:sz w:val="22"/>
                <w:szCs w:val="22"/>
              </w:rPr>
              <w:t xml:space="preserve">or to access services provided over or via that other network </w:t>
            </w:r>
            <w:r>
              <w:rPr>
                <w:rFonts w:eastAsia="Calibri" w:cs="Arial"/>
                <w:sz w:val="22"/>
                <w:szCs w:val="22"/>
              </w:rPr>
              <w:t xml:space="preserve">as </w:t>
            </w:r>
            <w:r w:rsidRPr="00F53F06">
              <w:rPr>
                <w:rFonts w:eastAsia="Calibri" w:cs="Arial"/>
                <w:sz w:val="22"/>
                <w:szCs w:val="22"/>
              </w:rPr>
              <w:t>outlined in Annex C.</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Interconnection Link</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Providing Party</w:t>
            </w:r>
            <w:r w:rsidRPr="00F53F06">
              <w:rPr>
                <w:rFonts w:eastAsia="Calibri" w:cs="Arial"/>
                <w:sz w:val="22"/>
                <w:szCs w:val="22"/>
              </w:rPr>
              <w:t xml:space="preserve"> transmission capacity of Leased Line elements between </w:t>
            </w:r>
            <w:r>
              <w:rPr>
                <w:rFonts w:eastAsia="Calibri" w:cs="Arial"/>
                <w:sz w:val="22"/>
                <w:szCs w:val="22"/>
              </w:rPr>
              <w:t>Providing Party</w:t>
            </w:r>
            <w:r w:rsidRPr="00F53F06">
              <w:rPr>
                <w:rFonts w:eastAsia="Calibri" w:cs="Arial"/>
                <w:sz w:val="22"/>
                <w:szCs w:val="22"/>
              </w:rPr>
              <w:t xml:space="preserve"> Interconnection Node and </w:t>
            </w:r>
            <w:r>
              <w:rPr>
                <w:rFonts w:eastAsia="Calibri" w:cs="Arial"/>
                <w:sz w:val="22"/>
                <w:szCs w:val="22"/>
              </w:rPr>
              <w:t>Requesting Party</w:t>
            </w:r>
            <w:r w:rsidRPr="00F53F06">
              <w:rPr>
                <w:rFonts w:eastAsia="Calibri" w:cs="Arial"/>
                <w:sz w:val="22"/>
                <w:szCs w:val="22"/>
              </w:rPr>
              <w:t xml:space="preserve"> Interconnection Node.</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Interconnection Network</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The combination of all the Interconnection Links between the two Parties which represents the totality of the connection of the two Networks.</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Interconnection Service</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A telecommunications service for which agreement has been reached by the Parties to convey on </w:t>
            </w:r>
            <w:r w:rsidRPr="00F53F06" w:rsidDel="00EE0EDD">
              <w:rPr>
                <w:rFonts w:eastAsia="Calibri" w:cs="Arial"/>
                <w:sz w:val="22"/>
                <w:szCs w:val="22"/>
              </w:rPr>
              <w:t xml:space="preserve">the </w:t>
            </w:r>
            <w:r w:rsidRPr="00F53F06">
              <w:rPr>
                <w:rFonts w:eastAsia="Calibri" w:cs="Arial"/>
                <w:sz w:val="22"/>
                <w:szCs w:val="22"/>
              </w:rPr>
              <w:t>Interconnect</w:t>
            </w:r>
            <w:r>
              <w:rPr>
                <w:rFonts w:eastAsia="Calibri" w:cs="Arial"/>
                <w:sz w:val="22"/>
                <w:szCs w:val="22"/>
              </w:rPr>
              <w:t>ion</w:t>
            </w:r>
            <w:r w:rsidRPr="00F53F06">
              <w:rPr>
                <w:rFonts w:eastAsia="Calibri" w:cs="Arial"/>
                <w:sz w:val="22"/>
                <w:szCs w:val="22"/>
              </w:rPr>
              <w:t>. All Interconnection Services a</w:t>
            </w:r>
            <w:r>
              <w:rPr>
                <w:rFonts w:eastAsia="Calibri" w:cs="Arial"/>
                <w:sz w:val="22"/>
                <w:szCs w:val="22"/>
              </w:rPr>
              <w:t>re</w:t>
            </w:r>
            <w:r w:rsidRPr="00F53F06">
              <w:rPr>
                <w:rFonts w:eastAsia="Calibri" w:cs="Arial"/>
                <w:sz w:val="22"/>
                <w:szCs w:val="22"/>
              </w:rPr>
              <w:t xml:space="preserve"> detailed in Annex C. </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Interconnection Traffic</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Telecommunications traffic conveyed between the Parties by way of Interconnection.</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1D561C">
              <w:rPr>
                <w:rFonts w:eastAsia="Calibri" w:cs="Arial"/>
                <w:sz w:val="22"/>
                <w:szCs w:val="22"/>
              </w:rPr>
              <w:t>International Mobile Subscriber Identity</w:t>
            </w:r>
            <w:r>
              <w:rPr>
                <w:rFonts w:eastAsia="Calibri" w:cs="Arial"/>
                <w:sz w:val="22"/>
                <w:szCs w:val="22"/>
              </w:rPr>
              <w:t xml:space="preserve"> (IMSI)</w:t>
            </w:r>
          </w:p>
        </w:tc>
        <w:tc>
          <w:tcPr>
            <w:tcW w:w="6030" w:type="dxa"/>
            <w:vAlign w:val="center"/>
          </w:tcPr>
          <w:p w:rsidR="000536DE" w:rsidRPr="00F53F06" w:rsidRDefault="000536DE" w:rsidP="00D25137">
            <w:pPr>
              <w:spacing w:before="120" w:after="120" w:line="240" w:lineRule="auto"/>
              <w:rPr>
                <w:rFonts w:eastAsia="Calibri" w:cs="Arial"/>
                <w:sz w:val="22"/>
                <w:szCs w:val="22"/>
              </w:rPr>
            </w:pPr>
            <w:r>
              <w:rPr>
                <w:rFonts w:eastAsia="Calibri" w:cs="Arial"/>
                <w:sz w:val="22"/>
                <w:szCs w:val="22"/>
              </w:rPr>
              <w:t>A</w:t>
            </w:r>
            <w:r w:rsidRPr="001D561C">
              <w:rPr>
                <w:rFonts w:eastAsia="Calibri" w:cs="Arial"/>
                <w:sz w:val="22"/>
                <w:szCs w:val="22"/>
              </w:rPr>
              <w:t xml:space="preserve"> specific number associated with </w:t>
            </w:r>
            <w:r>
              <w:rPr>
                <w:rFonts w:eastAsia="Calibri" w:cs="Arial"/>
                <w:sz w:val="22"/>
                <w:szCs w:val="22"/>
              </w:rPr>
              <w:t>the user</w:t>
            </w:r>
            <w:r>
              <w:rPr>
                <w:rStyle w:val="CommentReference"/>
              </w:rPr>
              <w:t xml:space="preserve">, </w:t>
            </w:r>
            <w:r w:rsidRPr="001D561C">
              <w:rPr>
                <w:rFonts w:eastAsia="Calibri" w:cs="Arial"/>
                <w:sz w:val="22"/>
                <w:szCs w:val="22"/>
              </w:rPr>
              <w:t>conforming to the ITU E. 212 numbering standard</w:t>
            </w:r>
            <w:r>
              <w:rPr>
                <w:rFonts w:eastAsia="Calibri" w:cs="Arial"/>
                <w:sz w:val="22"/>
                <w:szCs w:val="22"/>
              </w:rPr>
              <w: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International switch</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Any of the two switches used by </w:t>
            </w:r>
            <w:r>
              <w:rPr>
                <w:rFonts w:eastAsia="Calibri" w:cs="Arial"/>
                <w:sz w:val="22"/>
                <w:szCs w:val="22"/>
              </w:rPr>
              <w:t>Providing Party</w:t>
            </w:r>
            <w:r w:rsidRPr="00F53F06">
              <w:rPr>
                <w:rFonts w:eastAsia="Calibri" w:cs="Arial"/>
                <w:sz w:val="22"/>
                <w:szCs w:val="22"/>
              </w:rPr>
              <w:t xml:space="preserve"> for </w:t>
            </w:r>
            <w:r w:rsidRPr="00F53F06" w:rsidDel="00EE0EDD">
              <w:rPr>
                <w:rFonts w:eastAsia="Calibri" w:cs="Arial"/>
                <w:sz w:val="22"/>
                <w:szCs w:val="22"/>
              </w:rPr>
              <w:t xml:space="preserve">the </w:t>
            </w:r>
            <w:r w:rsidRPr="00F53F06">
              <w:rPr>
                <w:rFonts w:eastAsia="Calibri" w:cs="Arial"/>
                <w:sz w:val="22"/>
                <w:szCs w:val="22"/>
              </w:rPr>
              <w:t>international traffic</w:t>
            </w:r>
            <w:r>
              <w:rPr>
                <w:rFonts w:eastAsia="Calibri" w:cs="Arial"/>
                <w:sz w:val="22"/>
                <w:szCs w:val="22"/>
              </w:rPr>
              <w: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Manuals</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Working documents for such activities as Planning, Provisioning, Testing, Operations and Maintenance which the parties may agree. They will not form part of the </w:t>
            </w:r>
            <w:r>
              <w:rPr>
                <w:rFonts w:eastAsia="Calibri" w:cs="Arial"/>
                <w:sz w:val="22"/>
                <w:szCs w:val="22"/>
              </w:rPr>
              <w:t xml:space="preserve">Access and </w:t>
            </w:r>
            <w:r w:rsidRPr="00F53F06">
              <w:rPr>
                <w:rFonts w:eastAsia="Calibri" w:cs="Arial"/>
                <w:sz w:val="22"/>
                <w:szCs w:val="22"/>
              </w:rPr>
              <w:t>Interconnect</w:t>
            </w:r>
            <w:r w:rsidR="00E31E91">
              <w:rPr>
                <w:rFonts w:eastAsia="Calibri" w:cs="Arial"/>
                <w:sz w:val="22"/>
                <w:szCs w:val="22"/>
              </w:rPr>
              <w:t>ion</w:t>
            </w:r>
            <w:r w:rsidRPr="00F53F06">
              <w:rPr>
                <w:rFonts w:eastAsia="Calibri" w:cs="Arial"/>
                <w:sz w:val="22"/>
                <w:szCs w:val="22"/>
              </w:rPr>
              <w:t xml:space="preserve"> Agreement.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lastRenderedPageBreak/>
              <w:t>MDF</w:t>
            </w:r>
          </w:p>
        </w:tc>
        <w:tc>
          <w:tcPr>
            <w:tcW w:w="603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 xml:space="preserve">Main Distribution Frame located at a </w:t>
            </w:r>
            <w:hyperlink r:id="rId14" w:tooltip="Telephone exchange" w:history="1">
              <w:r w:rsidRPr="00F53F06">
                <w:rPr>
                  <w:rFonts w:eastAsia="Calibri" w:cs="Arial"/>
                  <w:sz w:val="22"/>
                  <w:szCs w:val="22"/>
                </w:rPr>
                <w:t>telephone central office</w:t>
              </w:r>
            </w:hyperlink>
            <w:r w:rsidRPr="00F53F06">
              <w:rPr>
                <w:rFonts w:eastAsia="Calibri" w:cs="Arial"/>
                <w:sz w:val="22"/>
                <w:szCs w:val="22"/>
              </w:rPr>
              <w:t xml:space="preserve"> terminates the cables leading to </w:t>
            </w:r>
            <w:hyperlink r:id="rId15" w:tooltip="Subscribers" w:history="1">
              <w:r w:rsidRPr="00F53F06">
                <w:rPr>
                  <w:rFonts w:eastAsia="Calibri" w:cs="Arial"/>
                  <w:sz w:val="22"/>
                  <w:szCs w:val="22"/>
                </w:rPr>
                <w:t>subscribers</w:t>
              </w:r>
            </w:hyperlink>
            <w:r w:rsidRPr="00F53F06">
              <w:rPr>
                <w:rFonts w:eastAsia="Calibri" w:cs="Arial"/>
                <w:sz w:val="22"/>
                <w:szCs w:val="22"/>
              </w:rPr>
              <w:t xml:space="preserve"> on the one hand, and cables leading to active equipment (such as </w:t>
            </w:r>
            <w:hyperlink r:id="rId16" w:tooltip="DSLAM" w:history="1">
              <w:r w:rsidRPr="00F53F06">
                <w:rPr>
                  <w:rFonts w:eastAsia="Calibri" w:cs="Arial"/>
                  <w:sz w:val="22"/>
                  <w:szCs w:val="22"/>
                </w:rPr>
                <w:t>DSLAMs</w:t>
              </w:r>
            </w:hyperlink>
            <w:r w:rsidRPr="00F53F06">
              <w:rPr>
                <w:rFonts w:eastAsia="Calibri" w:cs="Arial"/>
                <w:sz w:val="22"/>
                <w:szCs w:val="22"/>
              </w:rPr>
              <w:t xml:space="preserve"> and </w:t>
            </w:r>
            <w:hyperlink r:id="rId17" w:tooltip="Telephone switch" w:history="1">
              <w:r w:rsidRPr="00F53F06">
                <w:rPr>
                  <w:rFonts w:eastAsia="Calibri" w:cs="Arial"/>
                  <w:sz w:val="22"/>
                  <w:szCs w:val="22"/>
                </w:rPr>
                <w:t>telephone switches</w:t>
              </w:r>
            </w:hyperlink>
            <w:r w:rsidRPr="00F53F06">
              <w:rPr>
                <w:rFonts w:eastAsia="Calibri" w:cs="Arial"/>
                <w:sz w:val="22"/>
                <w:szCs w:val="22"/>
              </w:rPr>
              <w:t xml:space="preserve">) on the other. Service is provided to an End User by manually wiring a </w:t>
            </w:r>
            <w:hyperlink r:id="rId18" w:tooltip="Twisted pair" w:history="1">
              <w:r w:rsidRPr="00F53F06">
                <w:rPr>
                  <w:rFonts w:eastAsia="Calibri" w:cs="Arial"/>
                  <w:sz w:val="22"/>
                  <w:szCs w:val="22"/>
                </w:rPr>
                <w:t>twisted pair</w:t>
              </w:r>
            </w:hyperlink>
            <w:r w:rsidRPr="00F53F06">
              <w:rPr>
                <w:rFonts w:eastAsia="Calibri" w:cs="Arial"/>
                <w:sz w:val="22"/>
                <w:szCs w:val="22"/>
              </w:rPr>
              <w:t xml:space="preserve"> (called a jumper wire) between the </w:t>
            </w:r>
            <w:hyperlink r:id="rId19" w:tooltip="Telephone line" w:history="1">
              <w:r w:rsidRPr="00F53F06">
                <w:rPr>
                  <w:rFonts w:eastAsia="Calibri" w:cs="Arial"/>
                  <w:sz w:val="22"/>
                  <w:szCs w:val="22"/>
                </w:rPr>
                <w:t>telephone line</w:t>
              </w:r>
            </w:hyperlink>
            <w:r w:rsidRPr="00F53F06">
              <w:rPr>
                <w:rFonts w:eastAsia="Calibri" w:cs="Arial"/>
                <w:sz w:val="22"/>
                <w:szCs w:val="22"/>
              </w:rPr>
              <w:t xml:space="preserve"> and the relevant </w:t>
            </w:r>
            <w:hyperlink r:id="rId20" w:tooltip="DSL" w:history="1">
              <w:r w:rsidRPr="00F53F06">
                <w:rPr>
                  <w:rFonts w:eastAsia="Calibri" w:cs="Arial"/>
                  <w:sz w:val="22"/>
                  <w:szCs w:val="22"/>
                </w:rPr>
                <w:t>DSL</w:t>
              </w:r>
            </w:hyperlink>
            <w:r w:rsidRPr="00F53F06">
              <w:rPr>
                <w:rFonts w:eastAsia="Calibri" w:cs="Arial"/>
                <w:sz w:val="22"/>
                <w:szCs w:val="22"/>
              </w:rPr>
              <w:t xml:space="preserve"> or </w:t>
            </w:r>
            <w:hyperlink r:id="rId21" w:tooltip="Plain old telephone service" w:history="1">
              <w:r w:rsidRPr="00F53F06">
                <w:rPr>
                  <w:rFonts w:eastAsia="Calibri" w:cs="Arial"/>
                  <w:sz w:val="22"/>
                  <w:szCs w:val="22"/>
                </w:rPr>
                <w:t>POTS</w:t>
              </w:r>
            </w:hyperlink>
            <w:r w:rsidRPr="00F53F06">
              <w:rPr>
                <w:rFonts w:eastAsia="Calibri" w:cs="Arial"/>
                <w:sz w:val="22"/>
                <w:szCs w:val="22"/>
              </w:rPr>
              <w:t xml:space="preserve"> line circuit.</w:t>
            </w:r>
          </w:p>
        </w:tc>
      </w:tr>
      <w:tr w:rsidR="000536DE" w:rsidRPr="00F53F06" w:rsidTr="005E7CC7">
        <w:trPr>
          <w:trHeight w:val="535"/>
        </w:trPr>
        <w:tc>
          <w:tcPr>
            <w:tcW w:w="2700" w:type="dxa"/>
            <w:vAlign w:val="center"/>
          </w:tcPr>
          <w:p w:rsidR="000536DE" w:rsidRPr="00F53F06" w:rsidRDefault="000536DE" w:rsidP="00D25137">
            <w:pPr>
              <w:spacing w:before="120" w:after="120" w:line="240" w:lineRule="auto"/>
              <w:rPr>
                <w:rFonts w:eastAsia="Calibri" w:cs="Arial"/>
                <w:sz w:val="22"/>
                <w:szCs w:val="22"/>
              </w:rPr>
            </w:pPr>
            <w:r w:rsidRPr="00F53F06">
              <w:rPr>
                <w:rFonts w:eastAsia="Calibri" w:cs="Arial"/>
                <w:sz w:val="22"/>
                <w:szCs w:val="22"/>
              </w:rPr>
              <w:t>Metallic Path</w:t>
            </w:r>
          </w:p>
        </w:tc>
        <w:tc>
          <w:tcPr>
            <w:tcW w:w="6030" w:type="dxa"/>
            <w:vAlign w:val="center"/>
          </w:tcPr>
          <w:p w:rsidR="000536DE" w:rsidRPr="00F53F06" w:rsidRDefault="000536DE" w:rsidP="00D25137">
            <w:pPr>
              <w:widowControl w:val="0"/>
              <w:spacing w:before="120" w:after="120" w:line="240" w:lineRule="auto"/>
              <w:rPr>
                <w:rFonts w:eastAsia="Calibri" w:cs="Arial"/>
                <w:sz w:val="22"/>
                <w:szCs w:val="22"/>
              </w:rPr>
            </w:pPr>
            <w:r w:rsidRPr="00F53F06">
              <w:rPr>
                <w:rFonts w:eastAsia="Calibri" w:cs="Arial"/>
                <w:sz w:val="22"/>
                <w:szCs w:val="22"/>
              </w:rPr>
              <w:t>Raw copper pair.</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Calibri" w:cs="Arial"/>
                <w:sz w:val="22"/>
                <w:szCs w:val="22"/>
              </w:rPr>
            </w:pPr>
            <w:r>
              <w:rPr>
                <w:rFonts w:eastAsia="Calibri" w:cs="Arial"/>
                <w:sz w:val="22"/>
                <w:szCs w:val="22"/>
              </w:rPr>
              <w:t>Monthly Review</w:t>
            </w:r>
          </w:p>
        </w:tc>
        <w:tc>
          <w:tcPr>
            <w:tcW w:w="6030" w:type="dxa"/>
            <w:vAlign w:val="center"/>
          </w:tcPr>
          <w:p w:rsidR="000536DE" w:rsidRPr="00AF48B7" w:rsidRDefault="000536DE" w:rsidP="00D25137">
            <w:pPr>
              <w:spacing w:before="120" w:after="120" w:line="240" w:lineRule="auto"/>
              <w:rPr>
                <w:rFonts w:eastAsia="Calibri" w:cs="Arial"/>
                <w:sz w:val="22"/>
                <w:szCs w:val="22"/>
              </w:rPr>
            </w:pPr>
            <w:r>
              <w:rPr>
                <w:rFonts w:eastAsia="Calibri" w:cs="Arial"/>
                <w:sz w:val="22"/>
                <w:szCs w:val="22"/>
              </w:rPr>
              <w:t>As defined in Clause 11.3 in the Main Agreement.</w:t>
            </w:r>
          </w:p>
        </w:tc>
      </w:tr>
      <w:tr w:rsidR="000536DE" w:rsidRPr="00C55A42" w:rsidTr="005E7CC7">
        <w:trPr>
          <w:trHeight w:val="535"/>
        </w:trPr>
        <w:tc>
          <w:tcPr>
            <w:tcW w:w="2700" w:type="dxa"/>
            <w:vAlign w:val="center"/>
          </w:tcPr>
          <w:p w:rsidR="000536DE" w:rsidRPr="00C30630" w:rsidRDefault="000536DE" w:rsidP="00D25137">
            <w:pPr>
              <w:spacing w:before="120" w:after="120" w:line="240" w:lineRule="auto"/>
              <w:rPr>
                <w:rFonts w:eastAsia="Calibri" w:cs="Arial"/>
                <w:sz w:val="22"/>
                <w:szCs w:val="22"/>
              </w:rPr>
            </w:pPr>
            <w:r w:rsidRPr="00AF48B7">
              <w:rPr>
                <w:rFonts w:eastAsia="Calibri" w:cs="Arial"/>
                <w:sz w:val="22"/>
                <w:szCs w:val="22"/>
              </w:rPr>
              <w:t>MSAN</w:t>
            </w:r>
          </w:p>
        </w:tc>
        <w:tc>
          <w:tcPr>
            <w:tcW w:w="6030" w:type="dxa"/>
            <w:vAlign w:val="center"/>
          </w:tcPr>
          <w:p w:rsidR="000536DE" w:rsidRPr="00AF48B7" w:rsidRDefault="000536DE" w:rsidP="00D25137">
            <w:pPr>
              <w:spacing w:before="120" w:after="120" w:line="240" w:lineRule="auto"/>
              <w:rPr>
                <w:rFonts w:eastAsia="Calibri" w:cs="Arial"/>
                <w:sz w:val="22"/>
                <w:szCs w:val="22"/>
              </w:rPr>
            </w:pPr>
            <w:proofErr w:type="spellStart"/>
            <w:r w:rsidRPr="00AF48B7">
              <w:rPr>
                <w:rFonts w:eastAsia="Calibri" w:cs="Arial"/>
                <w:sz w:val="22"/>
                <w:szCs w:val="22"/>
              </w:rPr>
              <w:t xml:space="preserve">Multi </w:t>
            </w:r>
            <w:r w:rsidR="00E31E91">
              <w:rPr>
                <w:rFonts w:eastAsia="Calibri" w:cs="Arial"/>
                <w:sz w:val="22"/>
                <w:szCs w:val="22"/>
              </w:rPr>
              <w:t>S</w:t>
            </w:r>
            <w:r w:rsidRPr="00AF48B7">
              <w:rPr>
                <w:rFonts w:eastAsia="Calibri" w:cs="Arial"/>
                <w:sz w:val="22"/>
                <w:szCs w:val="22"/>
              </w:rPr>
              <w:t>ervice</w:t>
            </w:r>
            <w:proofErr w:type="spellEnd"/>
            <w:r w:rsidRPr="00AF48B7">
              <w:rPr>
                <w:rFonts w:eastAsia="Calibri" w:cs="Arial"/>
                <w:sz w:val="22"/>
                <w:szCs w:val="22"/>
              </w:rPr>
              <w:t xml:space="preserve"> Access Node</w:t>
            </w:r>
            <w:r>
              <w:rPr>
                <w:rFonts w:eastAsia="Calibri" w:cs="Arial"/>
                <w:sz w:val="22"/>
                <w:szCs w:val="22"/>
              </w:rPr>
              <w:t xml:space="preserve">: </w:t>
            </w:r>
            <w:r w:rsidRPr="00AF48B7">
              <w:rPr>
                <w:rFonts w:eastAsia="Calibri" w:cs="Arial"/>
                <w:sz w:val="22"/>
                <w:szCs w:val="22"/>
              </w:rPr>
              <w:t xml:space="preserve">the network </w:t>
            </w:r>
            <w:r>
              <w:rPr>
                <w:rFonts w:eastAsia="Calibri" w:cs="Arial"/>
                <w:sz w:val="22"/>
                <w:szCs w:val="22"/>
              </w:rPr>
              <w:t>node</w:t>
            </w:r>
            <w:r w:rsidRPr="00AF48B7">
              <w:rPr>
                <w:rFonts w:eastAsia="Calibri" w:cs="Arial"/>
                <w:sz w:val="22"/>
                <w:szCs w:val="22"/>
              </w:rPr>
              <w:t xml:space="preserve"> that receives</w:t>
            </w:r>
            <w:r>
              <w:rPr>
                <w:rFonts w:eastAsia="Calibri" w:cs="Arial"/>
                <w:sz w:val="22"/>
                <w:szCs w:val="22"/>
              </w:rPr>
              <w:t xml:space="preserve"> signals from multiple customers.</w:t>
            </w:r>
          </w:p>
        </w:tc>
      </w:tr>
      <w:tr w:rsidR="000536DE" w:rsidRPr="00C55A42" w:rsidTr="005E7CC7">
        <w:trPr>
          <w:trHeight w:val="535"/>
        </w:trPr>
        <w:tc>
          <w:tcPr>
            <w:tcW w:w="2700" w:type="dxa"/>
            <w:vAlign w:val="center"/>
          </w:tcPr>
          <w:p w:rsidR="000536DE" w:rsidRPr="00C30630" w:rsidRDefault="000536DE" w:rsidP="00D25137">
            <w:pPr>
              <w:spacing w:before="120" w:after="120" w:line="240" w:lineRule="auto"/>
              <w:rPr>
                <w:rFonts w:eastAsia="Calibri" w:cs="Arial"/>
                <w:sz w:val="22"/>
                <w:szCs w:val="22"/>
              </w:rPr>
            </w:pPr>
            <w:r w:rsidRPr="00AF48B7">
              <w:rPr>
                <w:rFonts w:eastAsia="Calibri" w:cs="Arial"/>
                <w:sz w:val="22"/>
                <w:szCs w:val="22"/>
              </w:rPr>
              <w:t>Narrowband Services</w:t>
            </w:r>
          </w:p>
        </w:tc>
        <w:tc>
          <w:tcPr>
            <w:tcW w:w="6030" w:type="dxa"/>
            <w:vAlign w:val="center"/>
          </w:tcPr>
          <w:p w:rsidR="000536DE" w:rsidRPr="00AF48B7" w:rsidRDefault="000536DE" w:rsidP="00D25137">
            <w:pPr>
              <w:widowControl w:val="0"/>
              <w:spacing w:before="120" w:after="120" w:line="240" w:lineRule="auto"/>
              <w:rPr>
                <w:rFonts w:eastAsiaTheme="majorEastAsia" w:cstheme="majorBidi"/>
                <w:bCs/>
                <w:snapToGrid w:val="0"/>
                <w:sz w:val="22"/>
                <w:szCs w:val="22"/>
              </w:rPr>
            </w:pPr>
            <w:r w:rsidRPr="00AF48B7">
              <w:rPr>
                <w:rFonts w:eastAsia="Calibri" w:cs="Arial"/>
                <w:sz w:val="22"/>
                <w:szCs w:val="22"/>
              </w:rPr>
              <w:t>Plain old telephony services (POTS).</w:t>
            </w:r>
          </w:p>
        </w:tc>
      </w:tr>
      <w:tr w:rsidR="000536DE" w:rsidRPr="00C55A42" w:rsidTr="005E7CC7">
        <w:trPr>
          <w:trHeight w:val="535"/>
        </w:trPr>
        <w:tc>
          <w:tcPr>
            <w:tcW w:w="2700" w:type="dxa"/>
            <w:vAlign w:val="center"/>
          </w:tcPr>
          <w:p w:rsidR="000536DE" w:rsidRPr="00C30630" w:rsidRDefault="000536DE" w:rsidP="00D25137">
            <w:pPr>
              <w:spacing w:before="120" w:after="120" w:line="240" w:lineRule="auto"/>
              <w:rPr>
                <w:rFonts w:eastAsia="Calibri" w:cs="Arial"/>
                <w:sz w:val="22"/>
                <w:szCs w:val="22"/>
              </w:rPr>
            </w:pPr>
            <w:r w:rsidRPr="00AF48B7">
              <w:rPr>
                <w:rFonts w:eastAsia="Calibri" w:cs="Arial"/>
                <w:sz w:val="22"/>
                <w:szCs w:val="22"/>
              </w:rPr>
              <w:t>National Regulator</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The Telecommunications Regulatory Authority or any person or body designated as the National Regulatory Authority pursuant to the Royal Decree No 30/2002 Telecommunications Act Sultanate of Oman </w:t>
            </w:r>
            <w:r w:rsidR="00E31E91">
              <w:rPr>
                <w:rFonts w:eastAsia="Calibri" w:cs="Arial"/>
                <w:sz w:val="22"/>
                <w:szCs w:val="22"/>
              </w:rPr>
              <w:t>C</w:t>
            </w:r>
            <w:r w:rsidRPr="00AF48B7">
              <w:rPr>
                <w:rFonts w:eastAsia="Calibri" w:cs="Arial"/>
                <w:sz w:val="22"/>
                <w:szCs w:val="22"/>
              </w:rPr>
              <w:t>hapter two.</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Network</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The </w:t>
            </w:r>
            <w:r>
              <w:rPr>
                <w:rFonts w:eastAsia="Calibri" w:cs="Arial"/>
                <w:sz w:val="22"/>
                <w:szCs w:val="22"/>
              </w:rPr>
              <w:t>Providing Party</w:t>
            </w:r>
            <w:r w:rsidRPr="00AF48B7">
              <w:rPr>
                <w:rFonts w:eastAsia="Calibri" w:cs="Arial"/>
                <w:sz w:val="22"/>
                <w:szCs w:val="22"/>
              </w:rPr>
              <w:t xml:space="preserve"> Network or the </w:t>
            </w:r>
            <w:r>
              <w:rPr>
                <w:rFonts w:eastAsia="Calibri" w:cs="Arial"/>
                <w:sz w:val="22"/>
                <w:szCs w:val="22"/>
              </w:rPr>
              <w:t>Requesting Party</w:t>
            </w:r>
            <w:r w:rsidRPr="00AF48B7">
              <w:rPr>
                <w:rFonts w:eastAsia="Calibri" w:cs="Arial"/>
                <w:sz w:val="22"/>
                <w:szCs w:val="22"/>
              </w:rPr>
              <w:t xml:space="preserve"> Network as the case may be. </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Network Alteration</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A physical change within one Party’s Network which is necessitated, to ensure continued efficient operation of the Interconnect</w:t>
            </w:r>
            <w:r w:rsidR="00E31E91">
              <w:rPr>
                <w:rFonts w:eastAsia="Calibri" w:cs="Arial"/>
                <w:sz w:val="22"/>
                <w:szCs w:val="22"/>
              </w:rPr>
              <w:t>ion</w:t>
            </w:r>
            <w:r w:rsidRPr="00AF48B7">
              <w:rPr>
                <w:rFonts w:eastAsia="Calibri" w:cs="Arial"/>
                <w:sz w:val="22"/>
                <w:szCs w:val="22"/>
              </w:rPr>
              <w:t xml:space="preserve">, by a change made by the other Party to this </w:t>
            </w:r>
            <w:r>
              <w:rPr>
                <w:rFonts w:eastAsia="Calibri" w:cs="Arial"/>
                <w:sz w:val="22"/>
                <w:szCs w:val="22"/>
              </w:rPr>
              <w:t xml:space="preserve">Access and </w:t>
            </w:r>
            <w:r w:rsidRPr="00AF48B7">
              <w:rPr>
                <w:rFonts w:eastAsia="Calibri" w:cs="Arial"/>
                <w:sz w:val="22"/>
                <w:szCs w:val="22"/>
              </w:rPr>
              <w:t>Interconnect</w:t>
            </w:r>
            <w:r w:rsidR="00E31E91">
              <w:rPr>
                <w:rFonts w:eastAsia="Calibri" w:cs="Arial"/>
                <w:sz w:val="22"/>
                <w:szCs w:val="22"/>
              </w:rPr>
              <w:t>ion</w:t>
            </w:r>
            <w:r w:rsidRPr="00AF48B7">
              <w:rPr>
                <w:rFonts w:eastAsia="Calibri" w:cs="Arial"/>
                <w:sz w:val="22"/>
                <w:szCs w:val="22"/>
              </w:rPr>
              <w:t xml:space="preserve"> Agreement without bi-lateral agreement. </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Network Information Recorded Announcement</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An announcement provided by </w:t>
            </w:r>
            <w:r>
              <w:rPr>
                <w:rFonts w:eastAsia="Calibri" w:cs="Arial"/>
                <w:sz w:val="22"/>
                <w:szCs w:val="22"/>
              </w:rPr>
              <w:t>Providing Party</w:t>
            </w:r>
            <w:r w:rsidRPr="00AF48B7">
              <w:rPr>
                <w:rFonts w:eastAsia="Calibri" w:cs="Arial"/>
                <w:sz w:val="22"/>
                <w:szCs w:val="22"/>
              </w:rPr>
              <w:t xml:space="preserve"> or the </w:t>
            </w:r>
            <w:r>
              <w:rPr>
                <w:rFonts w:eastAsia="Calibri" w:cs="Arial"/>
                <w:sz w:val="22"/>
                <w:szCs w:val="22"/>
              </w:rPr>
              <w:t>Requesting Party</w:t>
            </w:r>
            <w:r w:rsidRPr="00AF48B7">
              <w:rPr>
                <w:rFonts w:eastAsia="Calibri" w:cs="Arial"/>
                <w:sz w:val="22"/>
                <w:szCs w:val="22"/>
              </w:rPr>
              <w:t xml:space="preserve"> which provides information to the calling party in relation to the digits dialed and the progress towards connection of the Call.</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Network Termination Point</w:t>
            </w:r>
          </w:p>
        </w:tc>
        <w:tc>
          <w:tcPr>
            <w:tcW w:w="6030" w:type="dxa"/>
            <w:vAlign w:val="center"/>
          </w:tcPr>
          <w:p w:rsidR="000536DE" w:rsidRPr="00AF48B7" w:rsidRDefault="004A4C66" w:rsidP="00D25137">
            <w:pPr>
              <w:spacing w:before="120" w:after="120" w:line="240" w:lineRule="auto"/>
              <w:rPr>
                <w:rFonts w:eastAsia="Calibri" w:cs="Arial"/>
                <w:sz w:val="22"/>
                <w:szCs w:val="22"/>
              </w:rPr>
            </w:pPr>
            <w:r>
              <w:rPr>
                <w:rFonts w:eastAsia="Calibri" w:cs="Arial"/>
                <w:sz w:val="22"/>
                <w:szCs w:val="22"/>
              </w:rPr>
              <w:t>T</w:t>
            </w:r>
            <w:r w:rsidR="000536DE" w:rsidRPr="00AF48B7">
              <w:rPr>
                <w:rFonts w:eastAsia="Calibri" w:cs="Arial"/>
                <w:sz w:val="22"/>
                <w:szCs w:val="22"/>
              </w:rPr>
              <w:t>elecommunications calls originating on a particular network which terminates on geographic or non-geographic number ranges in another network within Oman.</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Notification of Delivery</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Notification sent to </w:t>
            </w:r>
            <w:r>
              <w:rPr>
                <w:rFonts w:eastAsia="Calibri" w:cs="Arial"/>
                <w:sz w:val="22"/>
                <w:szCs w:val="22"/>
              </w:rPr>
              <w:t>Requesting Party</w:t>
            </w:r>
            <w:r w:rsidRPr="00AF48B7">
              <w:rPr>
                <w:rFonts w:eastAsia="Calibri" w:cs="Arial"/>
                <w:sz w:val="22"/>
                <w:szCs w:val="22"/>
              </w:rPr>
              <w:t xml:space="preserve"> from </w:t>
            </w:r>
            <w:r>
              <w:rPr>
                <w:rFonts w:eastAsia="Calibri" w:cs="Arial"/>
                <w:sz w:val="22"/>
                <w:szCs w:val="22"/>
              </w:rPr>
              <w:t>Providing Party</w:t>
            </w:r>
            <w:r w:rsidRPr="00AF48B7">
              <w:rPr>
                <w:rFonts w:eastAsia="Calibri" w:cs="Arial"/>
                <w:sz w:val="22"/>
                <w:szCs w:val="22"/>
              </w:rPr>
              <w:t xml:space="preserve">, </w:t>
            </w:r>
            <w:r>
              <w:rPr>
                <w:rFonts w:eastAsia="Calibri" w:cs="Arial"/>
                <w:sz w:val="22"/>
                <w:szCs w:val="22"/>
              </w:rPr>
              <w:t xml:space="preserve">informing </w:t>
            </w:r>
            <w:r w:rsidRPr="00AF48B7">
              <w:rPr>
                <w:rFonts w:eastAsia="Calibri" w:cs="Arial"/>
                <w:sz w:val="22"/>
                <w:szCs w:val="22"/>
              </w:rPr>
              <w:t xml:space="preserve">that the delivery </w:t>
            </w:r>
            <w:r>
              <w:rPr>
                <w:rFonts w:eastAsia="Calibri" w:cs="Arial"/>
                <w:sz w:val="22"/>
                <w:szCs w:val="22"/>
              </w:rPr>
              <w:t xml:space="preserve">of Service </w:t>
            </w:r>
            <w:r w:rsidRPr="00AF48B7">
              <w:rPr>
                <w:rFonts w:eastAsia="Calibri" w:cs="Arial"/>
                <w:sz w:val="22"/>
                <w:szCs w:val="22"/>
              </w:rPr>
              <w:t>has been completed.</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Notification of Non Compliance of Delivery</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Notification sent to </w:t>
            </w:r>
            <w:r>
              <w:rPr>
                <w:rFonts w:eastAsia="Calibri" w:cs="Arial"/>
                <w:sz w:val="22"/>
                <w:szCs w:val="22"/>
              </w:rPr>
              <w:t>Providing Party</w:t>
            </w:r>
            <w:r w:rsidRPr="00AF48B7">
              <w:rPr>
                <w:rFonts w:eastAsia="Calibri" w:cs="Arial"/>
                <w:sz w:val="22"/>
                <w:szCs w:val="22"/>
              </w:rPr>
              <w:t xml:space="preserve"> from </w:t>
            </w:r>
            <w:r>
              <w:rPr>
                <w:rFonts w:eastAsia="Calibri" w:cs="Arial"/>
                <w:sz w:val="22"/>
                <w:szCs w:val="22"/>
              </w:rPr>
              <w:t>Requesting Party</w:t>
            </w:r>
            <w:r w:rsidRPr="00AF48B7">
              <w:rPr>
                <w:rFonts w:eastAsia="Calibri" w:cs="Arial"/>
                <w:sz w:val="22"/>
                <w:szCs w:val="22"/>
              </w:rPr>
              <w:t xml:space="preserve"> which states that delivery</w:t>
            </w:r>
            <w:r>
              <w:rPr>
                <w:rFonts w:eastAsia="Calibri" w:cs="Arial"/>
                <w:sz w:val="22"/>
                <w:szCs w:val="22"/>
              </w:rPr>
              <w:t xml:space="preserve"> of service</w:t>
            </w:r>
            <w:r w:rsidRPr="00AF48B7">
              <w:rPr>
                <w:rFonts w:eastAsia="Calibri" w:cs="Arial"/>
                <w:sz w:val="22"/>
                <w:szCs w:val="22"/>
              </w:rPr>
              <w:t xml:space="preserve"> has not been </w:t>
            </w:r>
            <w:r w:rsidRPr="00AF48B7">
              <w:rPr>
                <w:rFonts w:eastAsia="Calibri" w:cs="Arial"/>
                <w:sz w:val="22"/>
                <w:szCs w:val="22"/>
              </w:rPr>
              <w:lastRenderedPageBreak/>
              <w:t>completed.</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lastRenderedPageBreak/>
              <w:t>NTU</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Network Termination Unit is a device located at the final interconnect point between the </w:t>
            </w:r>
            <w:hyperlink r:id="rId22" w:history="1">
              <w:r w:rsidRPr="00AF48B7">
                <w:rPr>
                  <w:rFonts w:eastAsia="Calibri" w:cs="Arial"/>
                  <w:sz w:val="22"/>
                  <w:szCs w:val="22"/>
                </w:rPr>
                <w:t>PSTN</w:t>
              </w:r>
            </w:hyperlink>
            <w:r w:rsidRPr="00AF48B7">
              <w:rPr>
                <w:rFonts w:eastAsia="Calibri" w:cs="Arial"/>
                <w:sz w:val="22"/>
                <w:szCs w:val="22"/>
              </w:rPr>
              <w:t xml:space="preserve"> (Public Switched Telephone Network) and the customers' own equipment.</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Number Unobtainable</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A tone provided by </w:t>
            </w:r>
            <w:r>
              <w:rPr>
                <w:rFonts w:eastAsia="Calibri" w:cs="Arial"/>
                <w:sz w:val="22"/>
                <w:szCs w:val="22"/>
              </w:rPr>
              <w:t>Providing Party</w:t>
            </w:r>
            <w:r w:rsidRPr="00AF48B7">
              <w:rPr>
                <w:rFonts w:eastAsia="Calibri" w:cs="Arial"/>
                <w:sz w:val="22"/>
                <w:szCs w:val="22"/>
              </w:rPr>
              <w:t xml:space="preserve"> or the </w:t>
            </w:r>
            <w:r>
              <w:rPr>
                <w:rFonts w:eastAsia="Calibri" w:cs="Arial"/>
                <w:sz w:val="22"/>
                <w:szCs w:val="22"/>
              </w:rPr>
              <w:t>Requesting Party</w:t>
            </w:r>
            <w:r w:rsidRPr="00AF48B7">
              <w:rPr>
                <w:rFonts w:eastAsia="Calibri" w:cs="Arial"/>
                <w:sz w:val="22"/>
                <w:szCs w:val="22"/>
              </w:rPr>
              <w:t xml:space="preserve"> of the called Network in cases where the called number is not active. </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Order Acknowledgement</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Acknowledgement sent by </w:t>
            </w:r>
            <w:r>
              <w:rPr>
                <w:rFonts w:eastAsia="Calibri" w:cs="Arial"/>
                <w:sz w:val="22"/>
                <w:szCs w:val="22"/>
              </w:rPr>
              <w:t>Providing Party</w:t>
            </w:r>
            <w:r w:rsidRPr="00AF48B7">
              <w:rPr>
                <w:rFonts w:eastAsia="Calibri" w:cs="Arial"/>
                <w:sz w:val="22"/>
                <w:szCs w:val="22"/>
              </w:rPr>
              <w:t xml:space="preserve"> to </w:t>
            </w:r>
            <w:r>
              <w:rPr>
                <w:rFonts w:eastAsia="Calibri" w:cs="Arial"/>
                <w:sz w:val="22"/>
                <w:szCs w:val="22"/>
              </w:rPr>
              <w:t>Requesting Party</w:t>
            </w:r>
            <w:r w:rsidRPr="00AF48B7">
              <w:rPr>
                <w:rFonts w:eastAsia="Calibri" w:cs="Arial"/>
                <w:sz w:val="22"/>
                <w:szCs w:val="22"/>
              </w:rPr>
              <w:t xml:space="preserve"> that the Submission of Order has been received</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Originating Network</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Is the network to which the originating customer is first connected </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Party or Parties</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A party to the </w:t>
            </w:r>
            <w:r>
              <w:rPr>
                <w:rFonts w:eastAsia="Calibri" w:cs="Arial"/>
                <w:sz w:val="22"/>
                <w:szCs w:val="22"/>
              </w:rPr>
              <w:t xml:space="preserve">Access and </w:t>
            </w:r>
            <w:r w:rsidRPr="00AF48B7">
              <w:rPr>
                <w:rFonts w:eastAsia="Calibri" w:cs="Arial"/>
                <w:sz w:val="22"/>
                <w:szCs w:val="22"/>
              </w:rPr>
              <w:t>Interconnect</w:t>
            </w:r>
            <w:r>
              <w:rPr>
                <w:rFonts w:eastAsia="Calibri" w:cs="Arial"/>
                <w:sz w:val="22"/>
                <w:szCs w:val="22"/>
              </w:rPr>
              <w:t>ion</w:t>
            </w:r>
            <w:r w:rsidRPr="00AF48B7">
              <w:rPr>
                <w:rFonts w:eastAsia="Calibri" w:cs="Arial"/>
                <w:sz w:val="22"/>
                <w:szCs w:val="22"/>
              </w:rPr>
              <w:t xml:space="preserve"> Agreement as the context demands</w:t>
            </w:r>
            <w:r>
              <w:rPr>
                <w:rFonts w:eastAsia="Calibri" w:cs="Arial"/>
                <w:sz w:val="22"/>
                <w:szCs w:val="22"/>
              </w:rPr>
              <w:t>.</w:t>
            </w:r>
          </w:p>
        </w:tc>
      </w:tr>
      <w:tr w:rsidR="00093606" w:rsidRPr="00C55A42" w:rsidTr="005E7CC7">
        <w:trPr>
          <w:trHeight w:val="535"/>
        </w:trPr>
        <w:tc>
          <w:tcPr>
            <w:tcW w:w="2700" w:type="dxa"/>
            <w:vAlign w:val="center"/>
          </w:tcPr>
          <w:p w:rsidR="00093606" w:rsidRPr="00AF48B7" w:rsidRDefault="00093606" w:rsidP="00D25137">
            <w:pPr>
              <w:spacing w:before="120" w:after="120" w:line="240" w:lineRule="auto"/>
              <w:rPr>
                <w:rFonts w:eastAsia="Calibri" w:cs="Arial"/>
                <w:sz w:val="22"/>
                <w:szCs w:val="22"/>
              </w:rPr>
            </w:pPr>
            <w:r>
              <w:rPr>
                <w:rFonts w:eastAsia="Calibri" w:cs="Arial"/>
                <w:sz w:val="22"/>
                <w:szCs w:val="22"/>
              </w:rPr>
              <w:t>Performance Bond</w:t>
            </w:r>
          </w:p>
        </w:tc>
        <w:tc>
          <w:tcPr>
            <w:tcW w:w="6030" w:type="dxa"/>
            <w:vAlign w:val="center"/>
          </w:tcPr>
          <w:p w:rsidR="00093606" w:rsidRPr="00E31E91" w:rsidRDefault="00093606" w:rsidP="00D25137">
            <w:pPr>
              <w:spacing w:before="120" w:after="120" w:line="240" w:lineRule="auto"/>
              <w:rPr>
                <w:rFonts w:eastAsia="Calibri" w:cs="Arial"/>
                <w:sz w:val="22"/>
                <w:szCs w:val="22"/>
              </w:rPr>
            </w:pPr>
            <w:r w:rsidRPr="0025687C">
              <w:rPr>
                <w:sz w:val="22"/>
                <w:szCs w:val="22"/>
              </w:rPr>
              <w:t>Unconditional and irrevocable bank guarantee, issued by a bank registered in the Sultanate of Oman and acceptable to Providing Party.</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Point of Interconnection</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The point at which the </w:t>
            </w:r>
            <w:r>
              <w:rPr>
                <w:rFonts w:eastAsia="Calibri" w:cs="Arial"/>
                <w:sz w:val="22"/>
                <w:szCs w:val="22"/>
              </w:rPr>
              <w:t>Providing Party</w:t>
            </w:r>
            <w:r w:rsidRPr="00AF48B7">
              <w:rPr>
                <w:rFonts w:eastAsia="Calibri" w:cs="Arial"/>
                <w:sz w:val="22"/>
                <w:szCs w:val="22"/>
              </w:rPr>
              <w:t xml:space="preserve"> Network connects with the </w:t>
            </w:r>
            <w:r>
              <w:rPr>
                <w:rFonts w:eastAsia="Calibri" w:cs="Arial"/>
                <w:sz w:val="22"/>
                <w:szCs w:val="22"/>
              </w:rPr>
              <w:t>Requesting Party</w:t>
            </w:r>
            <w:r w:rsidRPr="00AF48B7">
              <w:rPr>
                <w:rFonts w:eastAsia="Calibri" w:cs="Arial"/>
                <w:sz w:val="22"/>
                <w:szCs w:val="22"/>
              </w:rPr>
              <w:t xml:space="preserve"> Network on each Interconnect</w:t>
            </w:r>
            <w:r w:rsidR="00E31E91">
              <w:rPr>
                <w:rFonts w:eastAsia="Calibri" w:cs="Arial"/>
                <w:sz w:val="22"/>
                <w:szCs w:val="22"/>
              </w:rPr>
              <w:t>ion</w:t>
            </w:r>
            <w:r w:rsidRPr="00AF48B7">
              <w:rPr>
                <w:rFonts w:eastAsia="Calibri" w:cs="Arial"/>
                <w:sz w:val="22"/>
                <w:szCs w:val="22"/>
              </w:rPr>
              <w:t xml:space="preserve"> Path.</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POP</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Point of Presence is an aggregation or network connection point in the Access Seeker’s network located at premises owned or shown to be leased by the Access Seeker or at a Access Provider collocation facility but for the avoidance of doubt cannot be at an End User premises.</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Port Capacity Order</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An order for interconnection port capacity at a Point of Interconnection submitted by </w:t>
            </w:r>
            <w:r>
              <w:rPr>
                <w:rFonts w:eastAsia="Calibri" w:cs="Arial"/>
                <w:sz w:val="22"/>
                <w:szCs w:val="22"/>
              </w:rPr>
              <w:t>the Requesting Party.</w:t>
            </w:r>
          </w:p>
        </w:tc>
      </w:tr>
      <w:tr w:rsidR="000536DE" w:rsidRPr="00C55A42" w:rsidTr="005E7CC7">
        <w:trPr>
          <w:trHeight w:val="535"/>
        </w:trPr>
        <w:tc>
          <w:tcPr>
            <w:tcW w:w="2700" w:type="dxa"/>
            <w:vAlign w:val="center"/>
          </w:tcPr>
          <w:p w:rsidR="000536DE" w:rsidRDefault="000536DE" w:rsidP="00D25137">
            <w:pPr>
              <w:spacing w:before="120" w:after="120" w:line="240" w:lineRule="auto"/>
              <w:rPr>
                <w:rFonts w:eastAsia="Calibri" w:cs="Arial"/>
                <w:sz w:val="22"/>
                <w:szCs w:val="22"/>
              </w:rPr>
            </w:pPr>
            <w:r w:rsidRPr="00AF48B7">
              <w:rPr>
                <w:rFonts w:eastAsia="Calibri" w:cs="Arial"/>
                <w:sz w:val="22"/>
                <w:szCs w:val="22"/>
              </w:rPr>
              <w:t>Presentation CLI</w:t>
            </w:r>
          </w:p>
          <w:p w:rsidR="000536DE" w:rsidRPr="00AF48B7" w:rsidRDefault="000536DE" w:rsidP="00D25137">
            <w:pPr>
              <w:spacing w:before="120" w:after="120" w:line="240" w:lineRule="auto"/>
              <w:rPr>
                <w:rFonts w:eastAsiaTheme="majorEastAsia" w:cstheme="majorBidi"/>
                <w:bCs/>
                <w:snapToGrid w:val="0"/>
                <w:sz w:val="22"/>
                <w:szCs w:val="22"/>
              </w:rPr>
            </w:pPr>
          </w:p>
        </w:tc>
        <w:tc>
          <w:tcPr>
            <w:tcW w:w="6030" w:type="dxa"/>
            <w:vAlign w:val="center"/>
          </w:tcPr>
          <w:p w:rsidR="000536DE" w:rsidRPr="00AF48B7" w:rsidRDefault="004A4C66" w:rsidP="00D25137">
            <w:pPr>
              <w:spacing w:before="120" w:after="120" w:line="240" w:lineRule="auto"/>
              <w:rPr>
                <w:rFonts w:eastAsia="Calibri" w:cs="Arial"/>
                <w:sz w:val="22"/>
                <w:szCs w:val="22"/>
              </w:rPr>
            </w:pPr>
            <w:r>
              <w:rPr>
                <w:rFonts w:eastAsia="Calibri" w:cs="Arial"/>
                <w:sz w:val="22"/>
                <w:szCs w:val="22"/>
              </w:rPr>
              <w:t>T</w:t>
            </w:r>
            <w:r w:rsidR="000536DE" w:rsidRPr="00AF48B7">
              <w:rPr>
                <w:rFonts w:eastAsia="Calibri" w:cs="Arial"/>
                <w:sz w:val="22"/>
                <w:szCs w:val="22"/>
              </w:rPr>
              <w:t>he digits (the “presentation numbers”) that comprise a dialing sequence</w:t>
            </w:r>
            <w:r w:rsidR="00E31E91">
              <w:rPr>
                <w:rFonts w:eastAsia="Calibri" w:cs="Arial"/>
                <w:sz w:val="22"/>
                <w:szCs w:val="22"/>
              </w:rPr>
              <w:t>.</w:t>
            </w:r>
            <w:r w:rsidR="000536DE" w:rsidRPr="00AF48B7">
              <w:rPr>
                <w:rFonts w:eastAsia="Calibri" w:cs="Arial"/>
                <w:sz w:val="22"/>
                <w:szCs w:val="22"/>
              </w:rPr>
              <w:t xml:space="preserve"> </w:t>
            </w:r>
          </w:p>
        </w:tc>
      </w:tr>
      <w:tr w:rsidR="000536DE" w:rsidRPr="00C55A42" w:rsidTr="005E7CC7">
        <w:trPr>
          <w:trHeight w:val="535"/>
        </w:trPr>
        <w:tc>
          <w:tcPr>
            <w:tcW w:w="2700" w:type="dxa"/>
            <w:vAlign w:val="center"/>
          </w:tcPr>
          <w:p w:rsidR="000536DE" w:rsidRPr="00EF1652" w:rsidDel="00574000" w:rsidRDefault="000536DE" w:rsidP="00D25137">
            <w:pPr>
              <w:spacing w:before="120" w:after="120" w:line="240" w:lineRule="auto"/>
              <w:rPr>
                <w:rFonts w:eastAsia="Calibri" w:cs="Arial"/>
                <w:sz w:val="22"/>
                <w:szCs w:val="22"/>
              </w:rPr>
            </w:pPr>
            <w:r>
              <w:rPr>
                <w:rFonts w:eastAsia="Calibri" w:cs="Arial"/>
                <w:sz w:val="22"/>
                <w:szCs w:val="22"/>
              </w:rPr>
              <w:t>Providing Party</w:t>
            </w:r>
          </w:p>
        </w:tc>
        <w:tc>
          <w:tcPr>
            <w:tcW w:w="6030" w:type="dxa"/>
            <w:vAlign w:val="center"/>
          </w:tcPr>
          <w:p w:rsidR="000536DE" w:rsidRDefault="001225C8" w:rsidP="00D25137">
            <w:pPr>
              <w:spacing w:before="120" w:after="120" w:line="240" w:lineRule="auto"/>
              <w:rPr>
                <w:rFonts w:eastAsia="Calibri" w:cs="Arial"/>
                <w:sz w:val="22"/>
                <w:szCs w:val="22"/>
              </w:rPr>
            </w:pPr>
            <w:r>
              <w:rPr>
                <w:rFonts w:eastAsia="Calibri" w:cs="Arial"/>
                <w:sz w:val="22"/>
                <w:szCs w:val="22"/>
              </w:rPr>
              <w:t>Omantel</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 xml:space="preserve">Ready for Service </w:t>
            </w:r>
            <w:r w:rsidR="00E31E91">
              <w:rPr>
                <w:rFonts w:eastAsia="Calibri" w:cs="Arial"/>
                <w:sz w:val="22"/>
                <w:szCs w:val="22"/>
              </w:rPr>
              <w:t>D</w:t>
            </w:r>
            <w:r w:rsidRPr="00AF48B7">
              <w:rPr>
                <w:rFonts w:eastAsia="Calibri" w:cs="Arial"/>
                <w:sz w:val="22"/>
                <w:szCs w:val="22"/>
              </w:rPr>
              <w:t>ate</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The date by which </w:t>
            </w:r>
            <w:r>
              <w:rPr>
                <w:rFonts w:eastAsia="Calibri" w:cs="Arial"/>
                <w:sz w:val="22"/>
                <w:szCs w:val="22"/>
              </w:rPr>
              <w:t xml:space="preserve">the Service </w:t>
            </w:r>
            <w:r w:rsidRPr="00AF48B7">
              <w:rPr>
                <w:rFonts w:eastAsia="Calibri" w:cs="Arial"/>
                <w:sz w:val="22"/>
                <w:szCs w:val="22"/>
              </w:rPr>
              <w:t xml:space="preserve">requested </w:t>
            </w:r>
            <w:r>
              <w:rPr>
                <w:rFonts w:eastAsia="Calibri" w:cs="Arial"/>
                <w:sz w:val="22"/>
                <w:szCs w:val="22"/>
              </w:rPr>
              <w:t xml:space="preserve">will </w:t>
            </w:r>
            <w:r w:rsidRPr="00AF48B7">
              <w:rPr>
                <w:rFonts w:eastAsia="Calibri" w:cs="Arial"/>
                <w:sz w:val="22"/>
                <w:szCs w:val="22"/>
              </w:rPr>
              <w:t>be available.</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Receiving Network</w:t>
            </w:r>
          </w:p>
        </w:tc>
        <w:tc>
          <w:tcPr>
            <w:tcW w:w="6030" w:type="dxa"/>
            <w:vAlign w:val="center"/>
          </w:tcPr>
          <w:p w:rsidR="000536DE" w:rsidRPr="00AF48B7" w:rsidRDefault="004A4C66" w:rsidP="00E31E91">
            <w:pPr>
              <w:spacing w:before="120" w:after="120" w:line="240" w:lineRule="auto"/>
              <w:rPr>
                <w:rFonts w:eastAsia="Calibri" w:cs="Arial"/>
                <w:sz w:val="22"/>
                <w:szCs w:val="22"/>
              </w:rPr>
            </w:pPr>
            <w:r>
              <w:rPr>
                <w:rFonts w:eastAsia="Calibri" w:cs="Arial"/>
                <w:sz w:val="22"/>
                <w:szCs w:val="22"/>
              </w:rPr>
              <w:t>T</w:t>
            </w:r>
            <w:r w:rsidR="000536DE" w:rsidRPr="00AF48B7">
              <w:rPr>
                <w:rFonts w:eastAsia="Calibri" w:cs="Arial"/>
                <w:sz w:val="22"/>
                <w:szCs w:val="22"/>
              </w:rPr>
              <w:t>he network in receipt of a call across any Interconnect</w:t>
            </w:r>
            <w:r w:rsidR="00E31E91">
              <w:rPr>
                <w:rFonts w:eastAsia="Calibri" w:cs="Arial"/>
                <w:sz w:val="22"/>
                <w:szCs w:val="22"/>
              </w:rPr>
              <w:t>ion</w:t>
            </w:r>
            <w:r w:rsidR="000536DE" w:rsidRPr="00AF48B7">
              <w:rPr>
                <w:rFonts w:eastAsia="Calibri" w:cs="Arial"/>
                <w:sz w:val="22"/>
                <w:szCs w:val="22"/>
              </w:rPr>
              <w:t xml:space="preserve">. The Receiving Network </w:t>
            </w:r>
            <w:r w:rsidR="00E31E91">
              <w:rPr>
                <w:rFonts w:eastAsia="Calibri" w:cs="Arial"/>
                <w:sz w:val="22"/>
                <w:szCs w:val="22"/>
              </w:rPr>
              <w:t xml:space="preserve">may </w:t>
            </w:r>
            <w:r w:rsidR="000536DE" w:rsidRPr="00AF48B7">
              <w:rPr>
                <w:rFonts w:eastAsia="Calibri" w:cs="Arial"/>
                <w:sz w:val="22"/>
                <w:szCs w:val="22"/>
              </w:rPr>
              <w:t xml:space="preserve">also be a Transit Network or a </w:t>
            </w:r>
            <w:r w:rsidR="000536DE" w:rsidRPr="00AF48B7">
              <w:rPr>
                <w:rFonts w:eastAsia="Calibri" w:cs="Arial"/>
                <w:sz w:val="22"/>
                <w:szCs w:val="22"/>
              </w:rPr>
              <w:lastRenderedPageBreak/>
              <w:t>Terminating Network.</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lastRenderedPageBreak/>
              <w:t>Receiving Party</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A Party who received any information from the other Party in relation to the Interconnect</w:t>
            </w:r>
            <w:r w:rsidR="00E31E91">
              <w:rPr>
                <w:rFonts w:eastAsia="Calibri" w:cs="Arial"/>
                <w:sz w:val="22"/>
                <w:szCs w:val="22"/>
              </w:rPr>
              <w:t>ion</w:t>
            </w:r>
            <w:r w:rsidRPr="00AF48B7">
              <w:rPr>
                <w:rFonts w:eastAsia="Calibri" w:cs="Arial"/>
                <w:sz w:val="22"/>
                <w:szCs w:val="22"/>
              </w:rPr>
              <w:t xml:space="preserve"> or Interconnect</w:t>
            </w:r>
            <w:r w:rsidR="00E31E91">
              <w:rPr>
                <w:rFonts w:eastAsia="Calibri" w:cs="Arial"/>
                <w:sz w:val="22"/>
                <w:szCs w:val="22"/>
              </w:rPr>
              <w:t>ion</w:t>
            </w:r>
            <w:r w:rsidRPr="00AF48B7">
              <w:rPr>
                <w:rFonts w:eastAsia="Calibri" w:cs="Arial"/>
                <w:sz w:val="22"/>
                <w:szCs w:val="22"/>
              </w:rPr>
              <w:t xml:space="preserve"> Services. </w:t>
            </w:r>
          </w:p>
        </w:tc>
      </w:tr>
      <w:tr w:rsidR="000536DE" w:rsidRPr="00C55A42" w:rsidTr="005E7CC7">
        <w:trPr>
          <w:trHeight w:val="535"/>
        </w:trPr>
        <w:tc>
          <w:tcPr>
            <w:tcW w:w="2700" w:type="dxa"/>
            <w:vAlign w:val="center"/>
          </w:tcPr>
          <w:p w:rsidR="000536DE" w:rsidRPr="00A971DE" w:rsidRDefault="000536DE" w:rsidP="00D25137">
            <w:pPr>
              <w:spacing w:before="120" w:after="120" w:line="240" w:lineRule="auto"/>
              <w:rPr>
                <w:rFonts w:eastAsia="Calibri" w:cs="Arial"/>
                <w:sz w:val="22"/>
                <w:szCs w:val="22"/>
              </w:rPr>
            </w:pPr>
            <w:r w:rsidRPr="00604F9A">
              <w:rPr>
                <w:rFonts w:eastAsia="Calibri" w:cs="Arial"/>
                <w:sz w:val="22"/>
                <w:szCs w:val="22"/>
              </w:rPr>
              <w:t>Regulatory Change</w:t>
            </w:r>
          </w:p>
        </w:tc>
        <w:tc>
          <w:tcPr>
            <w:tcW w:w="6030" w:type="dxa"/>
            <w:vAlign w:val="center"/>
          </w:tcPr>
          <w:p w:rsidR="000536DE" w:rsidRPr="00A9004C" w:rsidRDefault="000536DE" w:rsidP="00D25137">
            <w:pPr>
              <w:spacing w:before="120" w:after="120" w:line="240" w:lineRule="auto"/>
              <w:rPr>
                <w:rFonts w:eastAsia="Calibri" w:cs="Arial"/>
                <w:kern w:val="16"/>
                <w:sz w:val="22"/>
                <w:szCs w:val="22"/>
              </w:rPr>
            </w:pPr>
            <w:r>
              <w:rPr>
                <w:rFonts w:eastAsia="Calibri" w:cs="Arial"/>
                <w:sz w:val="22"/>
                <w:szCs w:val="22"/>
              </w:rPr>
              <w:t>I</w:t>
            </w:r>
            <w:r w:rsidRPr="00604F9A">
              <w:rPr>
                <w:rFonts w:eastAsia="Calibri" w:cs="Arial"/>
                <w:sz w:val="22"/>
                <w:szCs w:val="22"/>
              </w:rPr>
              <w:t xml:space="preserve">n relation to Providing Party, any change to applicable telecommunications law in the Territory or any relevant subordinate legislation or any new legislation or new regulations or amendment thereto which in any case has a material effect (whether immediate, prospective and/or retrospective) </w:t>
            </w:r>
            <w:r>
              <w:rPr>
                <w:rFonts w:eastAsia="Calibri" w:cs="Arial"/>
                <w:sz w:val="22"/>
                <w:szCs w:val="22"/>
              </w:rPr>
              <w:t>on this Agreement</w:t>
            </w:r>
            <w:r w:rsidRPr="00A9004C">
              <w:rPr>
                <w:rFonts w:eastAsia="Calibri" w:cs="Arial"/>
                <w:kern w:val="16"/>
                <w:sz w:val="22"/>
                <w:szCs w:val="22"/>
              </w:rPr>
              <w:t>.</w:t>
            </w:r>
          </w:p>
        </w:tc>
      </w:tr>
      <w:tr w:rsidR="000536DE" w:rsidRPr="00C55A42" w:rsidTr="005E7CC7">
        <w:trPr>
          <w:trHeight w:val="535"/>
        </w:trPr>
        <w:tc>
          <w:tcPr>
            <w:tcW w:w="2700" w:type="dxa"/>
            <w:vAlign w:val="center"/>
          </w:tcPr>
          <w:p w:rsidR="000536DE" w:rsidRPr="00A971DE" w:rsidRDefault="000536DE" w:rsidP="00D25137">
            <w:pPr>
              <w:spacing w:before="120" w:after="120" w:line="240" w:lineRule="auto"/>
              <w:rPr>
                <w:rFonts w:eastAsia="Calibri" w:cs="Arial"/>
                <w:sz w:val="22"/>
                <w:szCs w:val="22"/>
              </w:rPr>
            </w:pPr>
            <w:r w:rsidRPr="00604F9A">
              <w:rPr>
                <w:rFonts w:eastAsia="Calibri" w:cs="Arial"/>
                <w:sz w:val="22"/>
                <w:szCs w:val="22"/>
              </w:rPr>
              <w:t>Regulatory Condition</w:t>
            </w:r>
          </w:p>
        </w:tc>
        <w:tc>
          <w:tcPr>
            <w:tcW w:w="6030" w:type="dxa"/>
            <w:vAlign w:val="center"/>
          </w:tcPr>
          <w:p w:rsidR="000536DE" w:rsidRPr="00A971DE" w:rsidRDefault="000536DE" w:rsidP="00D25137">
            <w:pPr>
              <w:spacing w:before="120" w:after="120" w:line="240" w:lineRule="auto"/>
              <w:rPr>
                <w:rFonts w:eastAsia="Calibri" w:cs="Arial"/>
                <w:sz w:val="22"/>
                <w:szCs w:val="22"/>
              </w:rPr>
            </w:pPr>
            <w:r>
              <w:rPr>
                <w:rFonts w:eastAsia="Calibri" w:cs="Arial"/>
                <w:sz w:val="22"/>
                <w:szCs w:val="22"/>
              </w:rPr>
              <w:t>A</w:t>
            </w:r>
            <w:r w:rsidRPr="00604F9A">
              <w:rPr>
                <w:rFonts w:eastAsia="Calibri" w:cs="Arial"/>
                <w:sz w:val="22"/>
                <w:szCs w:val="22"/>
              </w:rPr>
              <w:t>ny regulation, condition, direction, decision, notification or order made by the Telecommunications Regulatory Authority or any other relevant regulatory body (including any enforcement action by the Telecommunications Regulatory Authority or such other regulatory body) or any code or codes of practice issued by any competent authority, whether or not such code or codes are expressed to be legally binding, and any voluntary codes applied by any industry body or association</w:t>
            </w:r>
            <w:r>
              <w:rPr>
                <w:rFonts w:eastAsia="Calibri" w:cs="Arial"/>
                <w:sz w:val="22"/>
                <w:szCs w:val="22"/>
              </w:rPr>
              <w:t>, governing or affecting a part</w:t>
            </w:r>
            <w:r w:rsidRPr="00604F9A">
              <w:rPr>
                <w:rFonts w:eastAsia="Calibri" w:cs="Arial"/>
                <w:sz w:val="22"/>
                <w:szCs w:val="22"/>
              </w:rPr>
              <w:t>y's activities</w:t>
            </w:r>
            <w:r>
              <w:rPr>
                <w:rFonts w:eastAsia="Calibri" w:cs="Arial"/>
                <w:sz w:val="22"/>
                <w:szCs w:val="22"/>
              </w:rPr>
              <w:t>.</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Request Acknowledgement</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Acknowledgement sent by </w:t>
            </w:r>
            <w:r>
              <w:rPr>
                <w:rFonts w:eastAsia="Calibri" w:cs="Arial"/>
                <w:sz w:val="22"/>
                <w:szCs w:val="22"/>
              </w:rPr>
              <w:t>Providing Party</w:t>
            </w:r>
            <w:r w:rsidRPr="00AF48B7">
              <w:rPr>
                <w:rFonts w:eastAsia="Calibri" w:cs="Arial"/>
                <w:sz w:val="22"/>
                <w:szCs w:val="22"/>
              </w:rPr>
              <w:t xml:space="preserve"> to </w:t>
            </w:r>
            <w:r>
              <w:rPr>
                <w:rFonts w:eastAsia="Calibri" w:cs="Arial"/>
                <w:sz w:val="22"/>
                <w:szCs w:val="22"/>
              </w:rPr>
              <w:t>Requesting Party</w:t>
            </w:r>
            <w:r w:rsidRPr="00AF48B7">
              <w:rPr>
                <w:rFonts w:eastAsia="Calibri" w:cs="Arial"/>
                <w:sz w:val="22"/>
                <w:szCs w:val="22"/>
              </w:rPr>
              <w:t xml:space="preserve"> that the Submission of Request has been received</w:t>
            </w:r>
            <w:r w:rsidR="00E31E91">
              <w:rPr>
                <w:rFonts w:eastAsia="Calibri" w:cs="Arial"/>
                <w:sz w:val="22"/>
                <w:szCs w:val="22"/>
              </w:rPr>
              <w:t>.</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Requesting Party</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The Party who is requesting the other Party to carry out some activity in relation to the </w:t>
            </w:r>
            <w:r>
              <w:rPr>
                <w:rFonts w:eastAsia="Calibri" w:cs="Arial"/>
                <w:sz w:val="22"/>
                <w:szCs w:val="22"/>
              </w:rPr>
              <w:t xml:space="preserve">Access, </w:t>
            </w:r>
            <w:r w:rsidRPr="00AF48B7">
              <w:rPr>
                <w:rFonts w:eastAsia="Calibri" w:cs="Arial"/>
                <w:sz w:val="22"/>
                <w:szCs w:val="22"/>
              </w:rPr>
              <w:t>Interconnect</w:t>
            </w:r>
            <w:r w:rsidR="00E31E91">
              <w:rPr>
                <w:rFonts w:eastAsia="Calibri" w:cs="Arial"/>
                <w:sz w:val="22"/>
                <w:szCs w:val="22"/>
              </w:rPr>
              <w:t>ion</w:t>
            </w:r>
            <w:r w:rsidRPr="00AF48B7">
              <w:rPr>
                <w:rFonts w:eastAsia="Calibri" w:cs="Arial"/>
                <w:sz w:val="22"/>
                <w:szCs w:val="22"/>
              </w:rPr>
              <w:t xml:space="preserve"> or Interconnect</w:t>
            </w:r>
            <w:r w:rsidR="00E31E91">
              <w:rPr>
                <w:rFonts w:eastAsia="Calibri" w:cs="Arial"/>
                <w:sz w:val="22"/>
                <w:szCs w:val="22"/>
              </w:rPr>
              <w:t>ion</w:t>
            </w:r>
            <w:r w:rsidRPr="00AF48B7">
              <w:rPr>
                <w:rFonts w:eastAsia="Calibri" w:cs="Arial"/>
                <w:sz w:val="22"/>
                <w:szCs w:val="22"/>
              </w:rPr>
              <w:t xml:space="preserve"> Services.</w:t>
            </w:r>
          </w:p>
        </w:tc>
      </w:tr>
      <w:tr w:rsidR="000536DE" w:rsidRPr="00C55A42" w:rsidTr="005E7CC7">
        <w:trPr>
          <w:trHeight w:val="535"/>
        </w:trPr>
        <w:tc>
          <w:tcPr>
            <w:tcW w:w="2700" w:type="dxa"/>
            <w:vAlign w:val="center"/>
          </w:tcPr>
          <w:p w:rsidR="000536DE" w:rsidRPr="00591A40" w:rsidRDefault="000536DE" w:rsidP="00D25137">
            <w:pPr>
              <w:spacing w:before="120" w:after="120" w:line="240" w:lineRule="auto"/>
              <w:rPr>
                <w:rFonts w:eastAsia="Calibri" w:cs="Arial"/>
                <w:sz w:val="22"/>
                <w:szCs w:val="22"/>
              </w:rPr>
            </w:pPr>
            <w:r w:rsidRPr="00604F9A">
              <w:rPr>
                <w:rFonts w:eastAsia="Calibri" w:cs="Arial"/>
                <w:sz w:val="22"/>
                <w:szCs w:val="22"/>
              </w:rPr>
              <w:t>Service Levels</w:t>
            </w:r>
          </w:p>
        </w:tc>
        <w:tc>
          <w:tcPr>
            <w:tcW w:w="6030" w:type="dxa"/>
            <w:vAlign w:val="center"/>
          </w:tcPr>
          <w:p w:rsidR="000536DE" w:rsidRPr="00591A40" w:rsidRDefault="000536DE" w:rsidP="00D25137">
            <w:pPr>
              <w:spacing w:before="120" w:after="120" w:line="240" w:lineRule="auto"/>
              <w:rPr>
                <w:rFonts w:eastAsia="Calibri" w:cs="Arial"/>
                <w:sz w:val="22"/>
                <w:szCs w:val="22"/>
              </w:rPr>
            </w:pPr>
            <w:r>
              <w:rPr>
                <w:rFonts w:eastAsia="Calibri" w:cs="Arial"/>
                <w:sz w:val="22"/>
                <w:szCs w:val="22"/>
              </w:rPr>
              <w:t>T</w:t>
            </w:r>
            <w:r w:rsidRPr="00604F9A">
              <w:rPr>
                <w:rFonts w:eastAsia="Calibri" w:cs="Arial"/>
                <w:sz w:val="22"/>
                <w:szCs w:val="22"/>
              </w:rPr>
              <w:t>he service levels applicable to the provision of the Providing Party Services, set out in</w:t>
            </w:r>
            <w:r>
              <w:rPr>
                <w:rFonts w:eastAsia="Calibri" w:cs="Arial"/>
                <w:sz w:val="22"/>
                <w:szCs w:val="22"/>
              </w:rPr>
              <w:t xml:space="preserve"> Annex H.</w:t>
            </w:r>
          </w:p>
        </w:tc>
      </w:tr>
      <w:tr w:rsidR="000536DE" w:rsidRPr="00C55A42" w:rsidTr="005E7CC7">
        <w:trPr>
          <w:trHeight w:val="535"/>
        </w:trPr>
        <w:tc>
          <w:tcPr>
            <w:tcW w:w="2700" w:type="dxa"/>
            <w:vAlign w:val="center"/>
          </w:tcPr>
          <w:p w:rsidR="000536DE" w:rsidRPr="007169FD" w:rsidRDefault="000536DE" w:rsidP="00D25137">
            <w:pPr>
              <w:spacing w:before="120" w:after="120" w:line="240" w:lineRule="auto"/>
              <w:rPr>
                <w:rFonts w:eastAsia="Calibri" w:cs="Arial"/>
                <w:sz w:val="22"/>
                <w:szCs w:val="22"/>
              </w:rPr>
            </w:pPr>
            <w:r w:rsidRPr="007169FD">
              <w:rPr>
                <w:rFonts w:eastAsia="Calibri" w:cs="Arial"/>
                <w:sz w:val="22"/>
                <w:szCs w:val="22"/>
              </w:rPr>
              <w:t>Switch</w:t>
            </w:r>
          </w:p>
        </w:tc>
        <w:tc>
          <w:tcPr>
            <w:tcW w:w="6030" w:type="dxa"/>
            <w:vAlign w:val="center"/>
          </w:tcPr>
          <w:p w:rsidR="000536DE" w:rsidRPr="007169FD" w:rsidRDefault="004A4C66" w:rsidP="00D25137">
            <w:pPr>
              <w:spacing w:before="120" w:after="120" w:line="240" w:lineRule="auto"/>
              <w:rPr>
                <w:rFonts w:eastAsia="Calibri" w:cs="Arial"/>
                <w:sz w:val="22"/>
                <w:szCs w:val="22"/>
              </w:rPr>
            </w:pPr>
            <w:r>
              <w:rPr>
                <w:rFonts w:eastAsia="Calibri" w:cs="Arial"/>
                <w:sz w:val="22"/>
                <w:szCs w:val="22"/>
              </w:rPr>
              <w:t>T</w:t>
            </w:r>
            <w:r w:rsidR="000536DE" w:rsidRPr="007169FD">
              <w:rPr>
                <w:rFonts w:eastAsia="Calibri" w:cs="Arial"/>
                <w:sz w:val="22"/>
                <w:szCs w:val="22"/>
              </w:rPr>
              <w:t>elecommunications apparatus within a Network which performs the function of switching and routing Calls.</w:t>
            </w:r>
          </w:p>
        </w:tc>
      </w:tr>
      <w:tr w:rsidR="000536DE" w:rsidRPr="00C55A42" w:rsidTr="005E7CC7">
        <w:trPr>
          <w:trHeight w:val="535"/>
        </w:trPr>
        <w:tc>
          <w:tcPr>
            <w:tcW w:w="2700" w:type="dxa"/>
            <w:vAlign w:val="center"/>
          </w:tcPr>
          <w:p w:rsidR="000536DE" w:rsidRPr="007169FD" w:rsidRDefault="000536DE" w:rsidP="00D25137">
            <w:pPr>
              <w:spacing w:before="120" w:after="120" w:line="240" w:lineRule="auto"/>
              <w:rPr>
                <w:rFonts w:eastAsia="Calibri" w:cs="Arial"/>
                <w:sz w:val="22"/>
                <w:szCs w:val="22"/>
              </w:rPr>
            </w:pPr>
            <w:r w:rsidRPr="007169FD">
              <w:rPr>
                <w:rFonts w:eastAsia="Calibri" w:cs="Arial"/>
                <w:sz w:val="22"/>
                <w:szCs w:val="22"/>
              </w:rPr>
              <w:t>System</w:t>
            </w:r>
          </w:p>
        </w:tc>
        <w:tc>
          <w:tcPr>
            <w:tcW w:w="6030" w:type="dxa"/>
            <w:vAlign w:val="center"/>
          </w:tcPr>
          <w:p w:rsidR="000536DE" w:rsidRPr="007169FD" w:rsidRDefault="000536DE" w:rsidP="00D25137">
            <w:pPr>
              <w:spacing w:before="120" w:after="120" w:line="240" w:lineRule="auto"/>
              <w:rPr>
                <w:rFonts w:eastAsia="Calibri" w:cs="Arial"/>
                <w:sz w:val="22"/>
                <w:szCs w:val="22"/>
              </w:rPr>
            </w:pPr>
            <w:r w:rsidRPr="007169FD">
              <w:rPr>
                <w:rFonts w:eastAsia="Calibri" w:cs="Arial"/>
                <w:sz w:val="22"/>
                <w:szCs w:val="22"/>
              </w:rPr>
              <w:t>Any instance of equipment, device. software program, firmware program or other entity belonging to or otherwise under the control of either Party, the alteration of which by the said Party will have effect on the compatibility of  corresponding or other facilities of the other Party or on the ability of the other party to fulfill obligations defined by this Agreement.</w:t>
            </w:r>
          </w:p>
        </w:tc>
      </w:tr>
      <w:tr w:rsidR="000536DE" w:rsidRPr="00C55A42" w:rsidTr="005E7CC7">
        <w:trPr>
          <w:trHeight w:val="535"/>
        </w:trPr>
        <w:tc>
          <w:tcPr>
            <w:tcW w:w="2700" w:type="dxa"/>
            <w:vAlign w:val="center"/>
          </w:tcPr>
          <w:p w:rsidR="000536DE" w:rsidRPr="007169FD" w:rsidRDefault="000536DE" w:rsidP="00D25137">
            <w:pPr>
              <w:spacing w:before="120" w:after="120" w:line="240" w:lineRule="auto"/>
              <w:rPr>
                <w:rFonts w:eastAsia="Calibri" w:cs="Arial"/>
                <w:sz w:val="22"/>
                <w:szCs w:val="22"/>
              </w:rPr>
            </w:pPr>
            <w:r w:rsidRPr="007169FD">
              <w:rPr>
                <w:rFonts w:eastAsia="Calibri" w:cs="Arial"/>
                <w:sz w:val="22"/>
                <w:szCs w:val="22"/>
              </w:rPr>
              <w:lastRenderedPageBreak/>
              <w:t>System Alteration</w:t>
            </w:r>
          </w:p>
        </w:tc>
        <w:tc>
          <w:tcPr>
            <w:tcW w:w="6030" w:type="dxa"/>
            <w:vAlign w:val="center"/>
          </w:tcPr>
          <w:p w:rsidR="000536DE" w:rsidRPr="007169FD" w:rsidRDefault="000536DE" w:rsidP="00D25137">
            <w:pPr>
              <w:spacing w:before="120" w:after="120" w:line="240" w:lineRule="auto"/>
              <w:rPr>
                <w:rFonts w:eastAsia="Calibri" w:cs="Arial"/>
                <w:sz w:val="22"/>
                <w:szCs w:val="22"/>
              </w:rPr>
            </w:pPr>
            <w:r w:rsidRPr="007169FD">
              <w:rPr>
                <w:rFonts w:eastAsia="Calibri" w:cs="Arial"/>
                <w:sz w:val="22"/>
                <w:szCs w:val="22"/>
              </w:rPr>
              <w:t>Any change, modification or alteration to a System</w:t>
            </w:r>
            <w:r w:rsidR="00E31E91">
              <w:rPr>
                <w:rFonts w:eastAsia="Calibri" w:cs="Arial"/>
                <w:sz w:val="22"/>
                <w:szCs w:val="22"/>
              </w:rPr>
              <w:t>.</w:t>
            </w:r>
          </w:p>
        </w:tc>
      </w:tr>
      <w:tr w:rsidR="000536DE" w:rsidRPr="00C55A42" w:rsidTr="005E7CC7">
        <w:trPr>
          <w:trHeight w:val="535"/>
        </w:trPr>
        <w:tc>
          <w:tcPr>
            <w:tcW w:w="2700" w:type="dxa"/>
            <w:vAlign w:val="center"/>
          </w:tcPr>
          <w:p w:rsidR="000536DE" w:rsidRPr="001E3D6A" w:rsidRDefault="000536DE" w:rsidP="00D25137">
            <w:pPr>
              <w:spacing w:before="120" w:after="120" w:line="240" w:lineRule="auto"/>
              <w:rPr>
                <w:rFonts w:eastAsia="Calibri" w:cs="Arial"/>
                <w:sz w:val="22"/>
                <w:szCs w:val="22"/>
              </w:rPr>
            </w:pPr>
            <w:r w:rsidRPr="001E3D6A">
              <w:rPr>
                <w:rFonts w:eastAsia="Calibri" w:cs="Arial"/>
                <w:sz w:val="22"/>
                <w:szCs w:val="22"/>
              </w:rPr>
              <w:t>Target Acceptance Date</w:t>
            </w:r>
          </w:p>
        </w:tc>
        <w:tc>
          <w:tcPr>
            <w:tcW w:w="6030" w:type="dxa"/>
            <w:vAlign w:val="center"/>
          </w:tcPr>
          <w:p w:rsidR="000536DE" w:rsidRPr="00AF48B7" w:rsidRDefault="000536DE" w:rsidP="00D25137">
            <w:pPr>
              <w:spacing w:before="120" w:after="120" w:line="240" w:lineRule="auto"/>
              <w:rPr>
                <w:rFonts w:eastAsia="Calibri" w:cs="Arial"/>
              </w:rPr>
            </w:pPr>
            <w:r>
              <w:rPr>
                <w:rFonts w:eastAsia="Calibri" w:cs="Arial"/>
                <w:sz w:val="22"/>
                <w:szCs w:val="22"/>
              </w:rPr>
              <w:t>Used in Access and Co-location request which is the same as Delivery Due Date in Annex H.</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Telecommunications Regulatory Authority</w:t>
            </w:r>
            <w:r w:rsidR="004A4C66">
              <w:rPr>
                <w:rFonts w:eastAsia="Calibri" w:cs="Arial"/>
                <w:sz w:val="22"/>
                <w:szCs w:val="22"/>
              </w:rPr>
              <w:t xml:space="preserve"> or TRA</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T</w:t>
            </w:r>
            <w:r>
              <w:rPr>
                <w:rFonts w:eastAsia="Calibri" w:cs="Arial"/>
                <w:sz w:val="22"/>
                <w:szCs w:val="22"/>
              </w:rPr>
              <w:t xml:space="preserve">elecommunication </w:t>
            </w:r>
            <w:r w:rsidRPr="00AF48B7">
              <w:rPr>
                <w:rFonts w:eastAsia="Calibri" w:cs="Arial"/>
                <w:sz w:val="22"/>
                <w:szCs w:val="22"/>
              </w:rPr>
              <w:t>Regulator</w:t>
            </w:r>
            <w:r>
              <w:rPr>
                <w:rFonts w:eastAsia="Calibri" w:cs="Arial"/>
                <w:sz w:val="22"/>
                <w:szCs w:val="22"/>
              </w:rPr>
              <w:t>y Authority of Oman</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Terminating Network</w:t>
            </w:r>
          </w:p>
        </w:tc>
        <w:tc>
          <w:tcPr>
            <w:tcW w:w="6030" w:type="dxa"/>
            <w:vAlign w:val="center"/>
          </w:tcPr>
          <w:p w:rsidR="000536DE" w:rsidRPr="00AF48B7" w:rsidRDefault="004A4C66" w:rsidP="00D25137">
            <w:pPr>
              <w:spacing w:before="120" w:after="120" w:line="240" w:lineRule="auto"/>
              <w:rPr>
                <w:rFonts w:eastAsia="Calibri" w:cs="Arial"/>
                <w:sz w:val="22"/>
                <w:szCs w:val="22"/>
              </w:rPr>
            </w:pPr>
            <w:r>
              <w:rPr>
                <w:rFonts w:eastAsia="Calibri" w:cs="Arial"/>
                <w:sz w:val="22"/>
                <w:szCs w:val="22"/>
              </w:rPr>
              <w:t>T</w:t>
            </w:r>
            <w:r w:rsidR="000536DE" w:rsidRPr="00AF48B7">
              <w:rPr>
                <w:rFonts w:eastAsia="Calibri" w:cs="Arial"/>
                <w:sz w:val="22"/>
                <w:szCs w:val="22"/>
              </w:rPr>
              <w:t>he network to which the called customer is connected.</w:t>
            </w:r>
          </w:p>
        </w:tc>
      </w:tr>
      <w:tr w:rsidR="009571E9" w:rsidRPr="00C55A42" w:rsidTr="005E7CC7">
        <w:trPr>
          <w:trHeight w:val="535"/>
        </w:trPr>
        <w:tc>
          <w:tcPr>
            <w:tcW w:w="2700" w:type="dxa"/>
            <w:vAlign w:val="center"/>
          </w:tcPr>
          <w:p w:rsidR="009571E9" w:rsidRPr="004A4C66" w:rsidRDefault="009571E9" w:rsidP="00D25137">
            <w:pPr>
              <w:spacing w:before="120" w:after="120" w:line="240" w:lineRule="auto"/>
              <w:rPr>
                <w:rFonts w:eastAsia="Calibri" w:cs="Arial"/>
                <w:sz w:val="22"/>
                <w:szCs w:val="22"/>
              </w:rPr>
            </w:pPr>
            <w:r w:rsidRPr="0025687C">
              <w:rPr>
                <w:sz w:val="22"/>
                <w:szCs w:val="22"/>
              </w:rPr>
              <w:t>Territory</w:t>
            </w:r>
          </w:p>
        </w:tc>
        <w:tc>
          <w:tcPr>
            <w:tcW w:w="6030" w:type="dxa"/>
            <w:vAlign w:val="center"/>
          </w:tcPr>
          <w:p w:rsidR="009571E9" w:rsidRPr="00AF48B7" w:rsidRDefault="009571E9" w:rsidP="00D25137">
            <w:pPr>
              <w:spacing w:before="120" w:after="120" w:line="240" w:lineRule="auto"/>
              <w:rPr>
                <w:rFonts w:eastAsia="Calibri" w:cs="Arial"/>
                <w:sz w:val="22"/>
                <w:szCs w:val="22"/>
              </w:rPr>
            </w:pPr>
            <w:r>
              <w:rPr>
                <w:rFonts w:eastAsia="Calibri" w:cs="Arial"/>
                <w:sz w:val="22"/>
                <w:szCs w:val="22"/>
              </w:rPr>
              <w:t>The Sultanate of Oman</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Third Party</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Any Party other than the Parties to this </w:t>
            </w:r>
            <w:r>
              <w:rPr>
                <w:rFonts w:eastAsia="Calibri" w:cs="Arial"/>
                <w:sz w:val="22"/>
                <w:szCs w:val="22"/>
              </w:rPr>
              <w:t xml:space="preserve">Access and </w:t>
            </w:r>
            <w:r w:rsidRPr="00AF48B7">
              <w:rPr>
                <w:rFonts w:eastAsia="Calibri" w:cs="Arial"/>
                <w:sz w:val="22"/>
                <w:szCs w:val="22"/>
              </w:rPr>
              <w:t>Interconnect</w:t>
            </w:r>
            <w:r w:rsidR="004A4C66">
              <w:rPr>
                <w:rFonts w:eastAsia="Calibri" w:cs="Arial"/>
                <w:sz w:val="22"/>
                <w:szCs w:val="22"/>
              </w:rPr>
              <w:t>ion</w:t>
            </w:r>
            <w:r w:rsidRPr="00AF48B7">
              <w:rPr>
                <w:rFonts w:eastAsia="Calibri" w:cs="Arial"/>
                <w:sz w:val="22"/>
                <w:szCs w:val="22"/>
              </w:rPr>
              <w:t xml:space="preserve"> Agreement.</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 xml:space="preserve">Third Party </w:t>
            </w:r>
            <w:r>
              <w:rPr>
                <w:rFonts w:eastAsia="Calibri" w:cs="Arial"/>
                <w:sz w:val="22"/>
                <w:szCs w:val="22"/>
              </w:rPr>
              <w:t>Operator</w:t>
            </w:r>
          </w:p>
        </w:tc>
        <w:tc>
          <w:tcPr>
            <w:tcW w:w="603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Pr>
                <w:rFonts w:eastAsia="Calibri" w:cs="Arial"/>
                <w:sz w:val="22"/>
                <w:szCs w:val="22"/>
              </w:rPr>
              <w:t>Any</w:t>
            </w:r>
            <w:r w:rsidRPr="00AF48B7">
              <w:rPr>
                <w:rFonts w:eastAsia="Calibri" w:cs="Arial"/>
                <w:sz w:val="22"/>
                <w:szCs w:val="22"/>
              </w:rPr>
              <w:t xml:space="preserve"> </w:t>
            </w:r>
            <w:r>
              <w:rPr>
                <w:rFonts w:eastAsia="Calibri" w:cs="Arial"/>
                <w:sz w:val="22"/>
                <w:szCs w:val="22"/>
              </w:rPr>
              <w:t>telecommunication operator</w:t>
            </w:r>
            <w:r w:rsidRPr="00AF48B7">
              <w:rPr>
                <w:rFonts w:eastAsia="Calibri" w:cs="Arial"/>
                <w:sz w:val="22"/>
                <w:szCs w:val="22"/>
              </w:rPr>
              <w:t xml:space="preserve"> </w:t>
            </w:r>
            <w:r>
              <w:rPr>
                <w:rFonts w:eastAsia="Calibri" w:cs="Arial"/>
                <w:sz w:val="22"/>
                <w:szCs w:val="22"/>
              </w:rPr>
              <w:t>that is not</w:t>
            </w:r>
            <w:r w:rsidRPr="00AF48B7">
              <w:rPr>
                <w:rFonts w:eastAsia="Calibri" w:cs="Arial"/>
                <w:sz w:val="22"/>
                <w:szCs w:val="22"/>
              </w:rPr>
              <w:t xml:space="preserve"> </w:t>
            </w:r>
            <w:r>
              <w:rPr>
                <w:rFonts w:eastAsia="Calibri" w:cs="Arial"/>
                <w:sz w:val="22"/>
                <w:szCs w:val="22"/>
              </w:rPr>
              <w:t xml:space="preserve">a </w:t>
            </w:r>
            <w:r w:rsidRPr="00AF48B7">
              <w:rPr>
                <w:rFonts w:eastAsia="Calibri" w:cs="Arial"/>
                <w:sz w:val="22"/>
                <w:szCs w:val="22"/>
              </w:rPr>
              <w:t>party to this Agreement.</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 xml:space="preserve">Toll Free Numbers </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 xml:space="preserve">These are numbers to which the retail </w:t>
            </w:r>
            <w:r>
              <w:rPr>
                <w:rFonts w:eastAsia="Calibri" w:cs="Arial"/>
                <w:sz w:val="22"/>
                <w:szCs w:val="22"/>
              </w:rPr>
              <w:t xml:space="preserve">call </w:t>
            </w:r>
            <w:r w:rsidRPr="00AF48B7">
              <w:rPr>
                <w:rFonts w:eastAsia="Calibri" w:cs="Arial"/>
                <w:sz w:val="22"/>
                <w:szCs w:val="22"/>
              </w:rPr>
              <w:t>price to the originating customer is zero in accordance with the numbering conventions of Oman.</w:t>
            </w:r>
          </w:p>
        </w:tc>
      </w:tr>
      <w:tr w:rsidR="000536DE" w:rsidRPr="00CA0C4F" w:rsidTr="005E7CC7">
        <w:trPr>
          <w:trHeight w:val="535"/>
        </w:trPr>
        <w:tc>
          <w:tcPr>
            <w:tcW w:w="2700" w:type="dxa"/>
            <w:vAlign w:val="center"/>
          </w:tcPr>
          <w:p w:rsidR="000536DE" w:rsidRPr="00CA0C4F" w:rsidRDefault="000536DE" w:rsidP="00D25137">
            <w:pPr>
              <w:spacing w:before="120" w:after="120" w:line="240" w:lineRule="auto"/>
              <w:rPr>
                <w:rFonts w:eastAsia="Calibri" w:cs="Arial"/>
                <w:sz w:val="22"/>
                <w:szCs w:val="22"/>
              </w:rPr>
            </w:pPr>
            <w:r w:rsidRPr="00CA0C4F">
              <w:rPr>
                <w:rFonts w:eastAsia="Calibri" w:cs="Arial"/>
                <w:sz w:val="22"/>
                <w:szCs w:val="22"/>
              </w:rPr>
              <w:t>Transit</w:t>
            </w:r>
          </w:p>
        </w:tc>
        <w:tc>
          <w:tcPr>
            <w:tcW w:w="6030" w:type="dxa"/>
            <w:vAlign w:val="center"/>
          </w:tcPr>
          <w:p w:rsidR="000536DE" w:rsidRPr="00CA0C4F" w:rsidRDefault="004A4C66" w:rsidP="00D25137">
            <w:pPr>
              <w:spacing w:before="120" w:after="120" w:line="240" w:lineRule="auto"/>
              <w:rPr>
                <w:rFonts w:eastAsia="Calibri" w:cs="Arial"/>
                <w:sz w:val="22"/>
                <w:szCs w:val="22"/>
              </w:rPr>
            </w:pPr>
            <w:r>
              <w:rPr>
                <w:rFonts w:eastAsia="Calibri" w:cs="Arial"/>
                <w:sz w:val="22"/>
                <w:szCs w:val="22"/>
              </w:rPr>
              <w:t>A</w:t>
            </w:r>
            <w:r w:rsidR="000536DE" w:rsidRPr="00CA0C4F">
              <w:rPr>
                <w:rFonts w:eastAsia="Calibri" w:cs="Arial"/>
                <w:sz w:val="22"/>
                <w:szCs w:val="22"/>
              </w:rPr>
              <w:t>n operator of a network “B” receives traffic from the operator of another network “A” and on behalf of “A” conveys this traffic on to a third (and different to A and B) operators’ network “C”.</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Transit Network</w:t>
            </w:r>
          </w:p>
        </w:tc>
        <w:tc>
          <w:tcPr>
            <w:tcW w:w="6030" w:type="dxa"/>
            <w:vAlign w:val="center"/>
          </w:tcPr>
          <w:p w:rsidR="000536DE" w:rsidRPr="00AF48B7" w:rsidRDefault="004A4C66" w:rsidP="00D25137">
            <w:pPr>
              <w:spacing w:before="120" w:after="120" w:line="240" w:lineRule="auto"/>
              <w:rPr>
                <w:rFonts w:eastAsia="Calibri" w:cs="Arial"/>
                <w:sz w:val="22"/>
                <w:szCs w:val="22"/>
              </w:rPr>
            </w:pPr>
            <w:r>
              <w:rPr>
                <w:rFonts w:eastAsia="Calibri" w:cs="Arial"/>
                <w:sz w:val="22"/>
                <w:szCs w:val="22"/>
              </w:rPr>
              <w:t>A</w:t>
            </w:r>
            <w:r w:rsidR="000536DE" w:rsidRPr="00AF48B7">
              <w:rPr>
                <w:rFonts w:eastAsia="Calibri" w:cs="Arial"/>
                <w:sz w:val="22"/>
                <w:szCs w:val="22"/>
              </w:rPr>
              <w:t>ny public switched telephone network involved in the conveyance of a call which is neither an Originating Network nor Terminating Network.</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Unpaid Invoices</w:t>
            </w:r>
          </w:p>
        </w:tc>
        <w:tc>
          <w:tcPr>
            <w:tcW w:w="6030" w:type="dxa"/>
            <w:vAlign w:val="center"/>
          </w:tcPr>
          <w:p w:rsidR="000536DE" w:rsidRPr="00AF48B7" w:rsidRDefault="000536DE" w:rsidP="00D25137">
            <w:pPr>
              <w:spacing w:before="120" w:after="120" w:line="240" w:lineRule="auto"/>
              <w:rPr>
                <w:rFonts w:eastAsia="Calibri" w:cs="Arial"/>
                <w:sz w:val="22"/>
                <w:szCs w:val="22"/>
              </w:rPr>
            </w:pPr>
            <w:r w:rsidRPr="00AF48B7">
              <w:rPr>
                <w:rFonts w:eastAsia="Calibri" w:cs="Arial"/>
                <w:sz w:val="22"/>
                <w:szCs w:val="22"/>
              </w:rPr>
              <w:t>Any invoice duly issued by one party to the other which has not been settled by the due date</w:t>
            </w:r>
          </w:p>
        </w:tc>
      </w:tr>
      <w:tr w:rsidR="000536DE" w:rsidRPr="00C55A42" w:rsidTr="005E7CC7">
        <w:trPr>
          <w:trHeight w:val="535"/>
        </w:trPr>
        <w:tc>
          <w:tcPr>
            <w:tcW w:w="2700" w:type="dxa"/>
            <w:vAlign w:val="center"/>
          </w:tcPr>
          <w:p w:rsidR="000536DE" w:rsidRPr="00AF48B7" w:rsidRDefault="000536DE" w:rsidP="00D25137">
            <w:pPr>
              <w:spacing w:before="120" w:after="120" w:line="240" w:lineRule="auto"/>
              <w:rPr>
                <w:rFonts w:eastAsiaTheme="majorEastAsia" w:cstheme="majorBidi"/>
                <w:bCs/>
                <w:snapToGrid w:val="0"/>
                <w:sz w:val="22"/>
                <w:szCs w:val="22"/>
              </w:rPr>
            </w:pPr>
            <w:r w:rsidRPr="00AF48B7">
              <w:rPr>
                <w:rFonts w:eastAsia="Calibri" w:cs="Arial"/>
                <w:sz w:val="22"/>
                <w:szCs w:val="22"/>
              </w:rPr>
              <w:t>Working Day</w:t>
            </w:r>
          </w:p>
        </w:tc>
        <w:tc>
          <w:tcPr>
            <w:tcW w:w="6030" w:type="dxa"/>
            <w:vAlign w:val="center"/>
          </w:tcPr>
          <w:p w:rsidR="000536DE" w:rsidRPr="00AF48B7" w:rsidRDefault="000536DE" w:rsidP="004A4C66">
            <w:pPr>
              <w:spacing w:before="120" w:after="120" w:line="240" w:lineRule="auto"/>
              <w:rPr>
                <w:rFonts w:eastAsia="Calibri" w:cs="Arial"/>
                <w:sz w:val="22"/>
                <w:szCs w:val="22"/>
              </w:rPr>
            </w:pPr>
            <w:r w:rsidRPr="00AF48B7">
              <w:rPr>
                <w:rFonts w:eastAsia="Calibri" w:cs="Arial"/>
                <w:sz w:val="22"/>
                <w:szCs w:val="22"/>
              </w:rPr>
              <w:t xml:space="preserve">Any day other than Friday, </w:t>
            </w:r>
            <w:r>
              <w:rPr>
                <w:rFonts w:eastAsia="Calibri" w:cs="Arial"/>
                <w:sz w:val="22"/>
                <w:szCs w:val="22"/>
              </w:rPr>
              <w:t xml:space="preserve">Saturday, </w:t>
            </w:r>
            <w:r w:rsidRPr="00AF48B7">
              <w:rPr>
                <w:rFonts w:eastAsia="Calibri" w:cs="Arial"/>
                <w:sz w:val="22"/>
                <w:szCs w:val="22"/>
              </w:rPr>
              <w:t>public or bank holiday in Oman</w:t>
            </w:r>
            <w:r>
              <w:rPr>
                <w:rFonts w:eastAsia="Calibri" w:cs="Arial"/>
                <w:sz w:val="22"/>
                <w:szCs w:val="22"/>
              </w:rPr>
              <w:t xml:space="preserve"> </w:t>
            </w:r>
            <w:r w:rsidRPr="00604F9A">
              <w:rPr>
                <w:rFonts w:eastAsia="Calibri" w:cs="Arial"/>
                <w:sz w:val="22"/>
                <w:szCs w:val="22"/>
              </w:rPr>
              <w:t>on which Providing Party Headquarters is open for conduct</w:t>
            </w:r>
            <w:r>
              <w:rPr>
                <w:rFonts w:eastAsia="Calibri" w:cs="Arial"/>
                <w:sz w:val="22"/>
                <w:szCs w:val="22"/>
              </w:rPr>
              <w:t>ing</w:t>
            </w:r>
            <w:r w:rsidRPr="00604F9A">
              <w:rPr>
                <w:rFonts w:eastAsia="Calibri" w:cs="Arial"/>
                <w:sz w:val="22"/>
                <w:szCs w:val="22"/>
              </w:rPr>
              <w:t xml:space="preserve"> </w:t>
            </w:r>
            <w:r>
              <w:rPr>
                <w:rFonts w:eastAsia="Calibri" w:cs="Arial"/>
                <w:sz w:val="22"/>
                <w:szCs w:val="22"/>
              </w:rPr>
              <w:t>bu</w:t>
            </w:r>
            <w:r w:rsidRPr="00604F9A">
              <w:rPr>
                <w:rFonts w:eastAsia="Calibri" w:cs="Arial"/>
                <w:sz w:val="22"/>
                <w:szCs w:val="22"/>
              </w:rPr>
              <w:t>siness</w:t>
            </w:r>
            <w:r w:rsidRPr="00AF48B7">
              <w:rPr>
                <w:rFonts w:eastAsia="Calibri" w:cs="Arial"/>
                <w:sz w:val="22"/>
                <w:szCs w:val="22"/>
              </w:rPr>
              <w:t>.</w:t>
            </w:r>
          </w:p>
        </w:tc>
      </w:tr>
    </w:tbl>
    <w:p w:rsidR="003E091E" w:rsidRDefault="003E091E" w:rsidP="001225C8">
      <w:pPr>
        <w:pStyle w:val="ListParagraph3"/>
        <w:numPr>
          <w:ilvl w:val="0"/>
          <w:numId w:val="0"/>
        </w:numPr>
        <w:ind w:left="864" w:hanging="864"/>
      </w:pPr>
    </w:p>
    <w:sectPr w:rsidR="003E091E" w:rsidSect="00513A96">
      <w:headerReference w:type="even" r:id="rId23"/>
      <w:headerReference w:type="default" r:id="rId24"/>
      <w:footerReference w:type="default" r:id="rId25"/>
      <w:headerReference w:type="first" r:id="rId26"/>
      <w:footerReference w:type="first" r:id="rId27"/>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342" w:rsidRDefault="00CF6342">
      <w:r>
        <w:separator/>
      </w:r>
    </w:p>
    <w:p w:rsidR="00CF6342" w:rsidRDefault="00CF6342"/>
  </w:endnote>
  <w:endnote w:type="continuationSeparator" w:id="0">
    <w:p w:rsidR="00CF6342" w:rsidRDefault="00CF6342">
      <w:r>
        <w:continuationSeparator/>
      </w:r>
    </w:p>
    <w:p w:rsidR="00CF6342" w:rsidRDefault="00CF6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54" w:rsidRDefault="00CF6342">
    <w:pPr>
      <w:pStyle w:val="Footer"/>
    </w:pPr>
    <w:r>
      <w:rPr>
        <w:noProof/>
      </w:rPr>
      <w:pict w14:anchorId="6BD79776">
        <v:rect id="_x0000_s2051" style="position:absolute;left:0;text-align:left;margin-left:240pt;margin-top:-154.75pt;width:283.45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4E7854">
      <w:rPr>
        <w:noProof/>
      </w:rPr>
      <w:drawing>
        <wp:anchor distT="0" distB="0" distL="114300" distR="114300" simplePos="0" relativeHeight="251660288"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w14:anchorId="48DA8247">
        <v:rect id="_x0000_s2050" style="position:absolute;left:0;text-align:left;margin-left:240pt;margin-top:-83.45pt;width:7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w14:anchorId="72301A3F">
        <v:rect id="Rectangle 1" o:spid="_x0000_s2049" style="position:absolute;left:0;text-align:left;margin-left:240pt;margin-top:6.9pt;width:283.4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4E785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54" w:rsidRDefault="004E785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rsidR="004E7854" w:rsidRPr="0081597A" w:rsidRDefault="004E7854"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54" w:rsidRDefault="004E785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752FB7">
      <w:rPr>
        <w:noProof/>
        <w:sz w:val="16"/>
        <w:szCs w:val="16"/>
      </w:rPr>
      <w:t>16</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752FB7">
      <w:rPr>
        <w:noProof/>
        <w:sz w:val="16"/>
        <w:szCs w:val="16"/>
      </w:rPr>
      <w:t>16</w:t>
    </w:r>
    <w:r w:rsidRPr="002A3A70">
      <w:rPr>
        <w:sz w:val="16"/>
        <w:szCs w:val="16"/>
      </w:rPr>
      <w:fldChar w:fldCharType="end"/>
    </w:r>
  </w:p>
  <w:p w:rsidR="004E7854" w:rsidRPr="002A3A70" w:rsidRDefault="004E7854" w:rsidP="002A3A70">
    <w:pPr>
      <w:pStyle w:val="Footer"/>
      <w:tabs>
        <w:tab w:val="clear" w:pos="9700"/>
        <w:tab w:val="right" w:pos="10206"/>
      </w:tabs>
      <w:ind w:left="-993"/>
      <w:rPr>
        <w:sz w:val="16"/>
        <w:szCs w:val="16"/>
      </w:rPr>
    </w:pPr>
  </w:p>
  <w:p w:rsidR="004E7854" w:rsidRDefault="004E7854" w:rsidP="002A3A70">
    <w:pPr>
      <w:pStyle w:val="Footer"/>
      <w:ind w:left="-993"/>
    </w:pPr>
    <w:r>
      <w:rPr>
        <w:noProof/>
      </w:rPr>
      <w:drawing>
        <wp:anchor distT="0" distB="0" distL="114300" distR="114300" simplePos="0" relativeHeight="25165721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25" name="Picture 25"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4E7854" w:rsidRPr="001C7F23" w:rsidRDefault="004E7854"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54" w:rsidRDefault="004E7854" w:rsidP="0029357C">
    <w:pPr>
      <w:pStyle w:val="Footer"/>
    </w:pPr>
    <w:r>
      <w:t xml:space="preserve">&lt;Customer Name&gt; &lt;Customer Project Title&gt; </w:t>
    </w:r>
  </w:p>
  <w:p w:rsidR="004E7854" w:rsidRDefault="004E785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t xml:space="preserve">Enterprise Business Unit - Enterprise Solutions : </w:t>
    </w:r>
    <w:r w:rsidRPr="00833998">
      <w:t>ISO 9001</w:t>
    </w:r>
    <w:r>
      <w:t xml:space="preserve"> : 2000</w:t>
    </w:r>
    <w:r>
      <w:tab/>
    </w:r>
    <w:r>
      <w:tab/>
      <w:t xml:space="preserve">Page </w:t>
    </w:r>
    <w:r w:rsidR="006878B1">
      <w:fldChar w:fldCharType="begin"/>
    </w:r>
    <w:r w:rsidR="006878B1">
      <w:instrText xml:space="preserve"> PAGE </w:instrText>
    </w:r>
    <w:r w:rsidR="006878B1">
      <w:fldChar w:fldCharType="separate"/>
    </w:r>
    <w:r>
      <w:rPr>
        <w:noProof/>
      </w:rPr>
      <w:t>3</w:t>
    </w:r>
    <w:r w:rsidR="006878B1">
      <w:rPr>
        <w:noProof/>
      </w:rPr>
      <w:fldChar w:fldCharType="end"/>
    </w:r>
    <w:r>
      <w:t xml:space="preserve"> of </w:t>
    </w:r>
    <w:fldSimple w:instr=" NUMPAGES ">
      <w:r w:rsidR="00752FB7">
        <w:rPr>
          <w:noProof/>
        </w:rPr>
        <w:t>16</w:t>
      </w:r>
    </w:fldSimple>
  </w:p>
  <w:p w:rsidR="004E7854" w:rsidRPr="0081597A" w:rsidRDefault="004E7854" w:rsidP="0029357C">
    <w:pPr>
      <w:pStyle w:val="Footer"/>
    </w:pPr>
  </w:p>
  <w:p w:rsidR="004E7854" w:rsidRDefault="004E78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342" w:rsidRDefault="00CF6342">
      <w:r>
        <w:separator/>
      </w:r>
    </w:p>
    <w:p w:rsidR="00CF6342" w:rsidRDefault="00CF6342"/>
  </w:footnote>
  <w:footnote w:type="continuationSeparator" w:id="0">
    <w:p w:rsidR="00CF6342" w:rsidRDefault="00CF6342">
      <w:r>
        <w:continuationSeparator/>
      </w:r>
    </w:p>
    <w:p w:rsidR="00CF6342" w:rsidRDefault="00CF63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54" w:rsidRPr="00506286" w:rsidRDefault="004E7854">
    <w:pPr>
      <w:rPr>
        <w:szCs w:val="18"/>
      </w:rPr>
    </w:pPr>
    <w:r>
      <w:rPr>
        <w:noProof/>
        <w:szCs w:val="18"/>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54" w:rsidRDefault="004E78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54" w:rsidRDefault="004E7854">
    <w:pPr>
      <w:rPr>
        <w:sz w:val="16"/>
        <w:szCs w:val="16"/>
      </w:rPr>
    </w:pPr>
  </w:p>
  <w:p w:rsidR="004E7854" w:rsidRDefault="004E7854" w:rsidP="00C451C2">
    <w:pPr>
      <w:rPr>
        <w:sz w:val="16"/>
        <w:szCs w:val="16"/>
      </w:rPr>
    </w:pPr>
    <w:r>
      <w:rPr>
        <w:noProof/>
        <w:sz w:val="16"/>
        <w:szCs w:val="16"/>
      </w:rPr>
      <w:drawing>
        <wp:anchor distT="0" distB="0" distL="114300" distR="114300" simplePos="0" relativeHeight="251658752"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Interconnection Offer</w:t>
    </w:r>
  </w:p>
  <w:p w:rsidR="004E7854" w:rsidRDefault="004E7854" w:rsidP="000C0980">
    <w:pPr>
      <w:rPr>
        <w:sz w:val="16"/>
        <w:szCs w:val="16"/>
      </w:rPr>
    </w:pPr>
    <w:r>
      <w:rPr>
        <w:sz w:val="16"/>
        <w:szCs w:val="16"/>
      </w:rPr>
      <w:t>Annex L Definitions</w:t>
    </w:r>
  </w:p>
  <w:p w:rsidR="004E7854" w:rsidRPr="006808BE" w:rsidRDefault="004E7854" w:rsidP="000C0980">
    <w:pPr>
      <w:rPr>
        <w:szCs w:val="18"/>
      </w:rPr>
    </w:pP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54" w:rsidRPr="006808BE" w:rsidRDefault="004E7854" w:rsidP="0029357C">
    <w:pPr>
      <w:rPr>
        <w:szCs w:val="18"/>
      </w:rPr>
    </w:pPr>
  </w:p>
  <w:p w:rsidR="004E7854" w:rsidRPr="00506286" w:rsidRDefault="004E7854" w:rsidP="0029357C"/>
  <w:p w:rsidR="004E7854" w:rsidRPr="00506286" w:rsidRDefault="004E7854" w:rsidP="0029357C"/>
  <w:p w:rsidR="004E7854" w:rsidRPr="00506286" w:rsidRDefault="004E7854" w:rsidP="0029357C"/>
  <w:p w:rsidR="004E7854" w:rsidRPr="00506286" w:rsidRDefault="004E7854" w:rsidP="0029357C"/>
  <w:p w:rsidR="004E7854" w:rsidRPr="00506286" w:rsidRDefault="004E7854" w:rsidP="0029357C"/>
  <w:p w:rsidR="004E7854" w:rsidRPr="00506286" w:rsidRDefault="004E7854" w:rsidP="0029357C"/>
  <w:p w:rsidR="004E7854" w:rsidRPr="00506286" w:rsidRDefault="004E7854" w:rsidP="0029357C">
    <w:pPr>
      <w:rPr>
        <w:rStyle w:val="PageNumber"/>
      </w:rPr>
    </w:pPr>
  </w:p>
  <w:p w:rsidR="004E7854" w:rsidRPr="00506286" w:rsidRDefault="004E7854">
    <w:pPr>
      <w:rPr>
        <w:szCs w:val="18"/>
      </w:rPr>
    </w:pPr>
    <w:r>
      <w:rPr>
        <w:noProof/>
        <w:szCs w:val="18"/>
      </w:rPr>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7553325" cy="1638300"/>
          <wp:effectExtent l="0" t="0" r="0" b="12700"/>
          <wp:wrapNone/>
          <wp:docPr id="26" name="Picture 26"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4E7854" w:rsidRDefault="004E78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4F67C66"/>
    <w:multiLevelType w:val="multilevel"/>
    <w:tmpl w:val="6CCC5CB2"/>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upperLetter"/>
      <w:lvlText w:val="%4."/>
      <w:lvlJc w:val="left"/>
      <w:pPr>
        <w:tabs>
          <w:tab w:val="num" w:pos="864"/>
        </w:tabs>
        <w:ind w:left="864" w:hanging="864"/>
      </w:pPr>
      <w:rPr>
        <w:rFonts w:hint="default"/>
        <w:b w:val="0"/>
        <w:i w:val="0"/>
        <w:caps w:val="0"/>
        <w:strike w:val="0"/>
        <w:dstrike w:val="0"/>
        <w:vanish w:val="0"/>
        <w:color w:val="999999"/>
        <w:sz w:val="22"/>
        <w:vertAlign w:val="base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3">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nsid w:val="163472DD"/>
    <w:multiLevelType w:val="multilevel"/>
    <w:tmpl w:val="CA9C6C0E"/>
    <w:lvl w:ilvl="0">
      <w:start w:val="1"/>
      <w:numFmt w:val="decimal"/>
      <w:lvlText w:val="%1."/>
      <w:lvlJc w:val="left"/>
      <w:pPr>
        <w:ind w:left="432" w:hanging="432"/>
      </w:pPr>
      <w:rPr>
        <w:rFonts w:hint="default"/>
        <w:color w:val="808080"/>
      </w:rPr>
    </w:lvl>
    <w:lvl w:ilvl="1">
      <w:start w:val="1"/>
      <w:numFmt w:val="decimal"/>
      <w:lvlText w:val="%1.%2"/>
      <w:lvlJc w:val="left"/>
      <w:pPr>
        <w:ind w:left="576" w:hanging="576"/>
      </w:pPr>
      <w:rPr>
        <w:color w:val="80808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color w:val="80808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1574277"/>
    <w:multiLevelType w:val="hybridMultilevel"/>
    <w:tmpl w:val="41EEB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2C10300C"/>
    <w:multiLevelType w:val="multilevel"/>
    <w:tmpl w:val="150CD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9">
    <w:nsid w:val="50DD7192"/>
    <w:multiLevelType w:val="multilevel"/>
    <w:tmpl w:val="4DA4F1D4"/>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1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9"/>
  </w:num>
  <w:num w:numId="2">
    <w:abstractNumId w:val="8"/>
  </w:num>
  <w:num w:numId="3">
    <w:abstractNumId w:val="11"/>
  </w:num>
  <w:num w:numId="4">
    <w:abstractNumId w:val="1"/>
  </w:num>
  <w:num w:numId="5">
    <w:abstractNumId w:val="3"/>
  </w:num>
  <w:num w:numId="6">
    <w:abstractNumId w:val="0"/>
  </w:num>
  <w:num w:numId="7">
    <w:abstractNumId w:val="1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num>
  <w:num w:numId="23">
    <w:abstractNumId w:val="9"/>
  </w:num>
  <w:num w:numId="24">
    <w:abstractNumId w:val="9"/>
  </w:num>
  <w:num w:numId="25">
    <w:abstractNumId w:val="9"/>
  </w:num>
  <w:num w:numId="26">
    <w:abstractNumId w:val="9"/>
  </w:num>
  <w:num w:numId="27">
    <w:abstractNumId w:val="2"/>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04113"/>
    <w:rsid w:val="000048A5"/>
    <w:rsid w:val="00005446"/>
    <w:rsid w:val="000203B9"/>
    <w:rsid w:val="000209E2"/>
    <w:rsid w:val="0002575D"/>
    <w:rsid w:val="00025E3E"/>
    <w:rsid w:val="0003018C"/>
    <w:rsid w:val="000359A9"/>
    <w:rsid w:val="00040AB1"/>
    <w:rsid w:val="0004304E"/>
    <w:rsid w:val="00047CF7"/>
    <w:rsid w:val="00050738"/>
    <w:rsid w:val="00051848"/>
    <w:rsid w:val="000536DE"/>
    <w:rsid w:val="00055A20"/>
    <w:rsid w:val="0006200D"/>
    <w:rsid w:val="0006321E"/>
    <w:rsid w:val="00064D87"/>
    <w:rsid w:val="0007283A"/>
    <w:rsid w:val="00087721"/>
    <w:rsid w:val="000903E2"/>
    <w:rsid w:val="00093606"/>
    <w:rsid w:val="00094130"/>
    <w:rsid w:val="000950EA"/>
    <w:rsid w:val="00097B0F"/>
    <w:rsid w:val="000A251E"/>
    <w:rsid w:val="000A5EC1"/>
    <w:rsid w:val="000A6E58"/>
    <w:rsid w:val="000B318D"/>
    <w:rsid w:val="000C0980"/>
    <w:rsid w:val="000C1118"/>
    <w:rsid w:val="000D0115"/>
    <w:rsid w:val="000D0671"/>
    <w:rsid w:val="000D1887"/>
    <w:rsid w:val="000D6567"/>
    <w:rsid w:val="000E2E90"/>
    <w:rsid w:val="000E780A"/>
    <w:rsid w:val="000F2080"/>
    <w:rsid w:val="000F2E34"/>
    <w:rsid w:val="000F5D51"/>
    <w:rsid w:val="0010262C"/>
    <w:rsid w:val="0010270A"/>
    <w:rsid w:val="0010773E"/>
    <w:rsid w:val="00110BD4"/>
    <w:rsid w:val="00120423"/>
    <w:rsid w:val="001225C8"/>
    <w:rsid w:val="00130367"/>
    <w:rsid w:val="001306FE"/>
    <w:rsid w:val="00131269"/>
    <w:rsid w:val="00133B05"/>
    <w:rsid w:val="00135E40"/>
    <w:rsid w:val="00144294"/>
    <w:rsid w:val="00164B8B"/>
    <w:rsid w:val="00167C52"/>
    <w:rsid w:val="00167F69"/>
    <w:rsid w:val="00177E52"/>
    <w:rsid w:val="00181C87"/>
    <w:rsid w:val="00183705"/>
    <w:rsid w:val="0018774B"/>
    <w:rsid w:val="00194256"/>
    <w:rsid w:val="001A4987"/>
    <w:rsid w:val="001A6C2D"/>
    <w:rsid w:val="001B4E8F"/>
    <w:rsid w:val="001B6486"/>
    <w:rsid w:val="001C02E9"/>
    <w:rsid w:val="001C41F7"/>
    <w:rsid w:val="001C5841"/>
    <w:rsid w:val="001C5CEB"/>
    <w:rsid w:val="001D1951"/>
    <w:rsid w:val="001D1D67"/>
    <w:rsid w:val="001D2E41"/>
    <w:rsid w:val="001D7FF7"/>
    <w:rsid w:val="001F1BCD"/>
    <w:rsid w:val="001F1D19"/>
    <w:rsid w:val="001F5C26"/>
    <w:rsid w:val="00203A05"/>
    <w:rsid w:val="002219BF"/>
    <w:rsid w:val="00225EC5"/>
    <w:rsid w:val="002279B0"/>
    <w:rsid w:val="00227FBB"/>
    <w:rsid w:val="002315DF"/>
    <w:rsid w:val="00236B06"/>
    <w:rsid w:val="0025073F"/>
    <w:rsid w:val="002542BD"/>
    <w:rsid w:val="0025687C"/>
    <w:rsid w:val="00257AE9"/>
    <w:rsid w:val="00263724"/>
    <w:rsid w:val="00263924"/>
    <w:rsid w:val="00267B14"/>
    <w:rsid w:val="0027057B"/>
    <w:rsid w:val="0028401C"/>
    <w:rsid w:val="0029328C"/>
    <w:rsid w:val="0029357C"/>
    <w:rsid w:val="002956FA"/>
    <w:rsid w:val="002A3A70"/>
    <w:rsid w:val="002A5F4D"/>
    <w:rsid w:val="002A7BCA"/>
    <w:rsid w:val="002B5B3B"/>
    <w:rsid w:val="002B602C"/>
    <w:rsid w:val="002D47AC"/>
    <w:rsid w:val="002E24AF"/>
    <w:rsid w:val="002E3C01"/>
    <w:rsid w:val="002F236D"/>
    <w:rsid w:val="002F3463"/>
    <w:rsid w:val="002F5687"/>
    <w:rsid w:val="00304D24"/>
    <w:rsid w:val="003133BC"/>
    <w:rsid w:val="003147A3"/>
    <w:rsid w:val="00314D76"/>
    <w:rsid w:val="00321598"/>
    <w:rsid w:val="00323594"/>
    <w:rsid w:val="00325582"/>
    <w:rsid w:val="003311EF"/>
    <w:rsid w:val="00337BD8"/>
    <w:rsid w:val="00341611"/>
    <w:rsid w:val="00341E72"/>
    <w:rsid w:val="00342CF7"/>
    <w:rsid w:val="00346D45"/>
    <w:rsid w:val="00360FCC"/>
    <w:rsid w:val="00361A2D"/>
    <w:rsid w:val="00363A87"/>
    <w:rsid w:val="00364A2D"/>
    <w:rsid w:val="00366C04"/>
    <w:rsid w:val="00374EEA"/>
    <w:rsid w:val="00381E38"/>
    <w:rsid w:val="00385E9C"/>
    <w:rsid w:val="003863FC"/>
    <w:rsid w:val="00391612"/>
    <w:rsid w:val="00392669"/>
    <w:rsid w:val="003A2587"/>
    <w:rsid w:val="003A4FE4"/>
    <w:rsid w:val="003B1EBE"/>
    <w:rsid w:val="003B5674"/>
    <w:rsid w:val="003C7D16"/>
    <w:rsid w:val="003D4405"/>
    <w:rsid w:val="003D7A17"/>
    <w:rsid w:val="003E091E"/>
    <w:rsid w:val="003E2AEF"/>
    <w:rsid w:val="003E3E97"/>
    <w:rsid w:val="003E5670"/>
    <w:rsid w:val="003E6055"/>
    <w:rsid w:val="003E721B"/>
    <w:rsid w:val="003F081D"/>
    <w:rsid w:val="003F0A32"/>
    <w:rsid w:val="003F41F3"/>
    <w:rsid w:val="0040029D"/>
    <w:rsid w:val="00404C9D"/>
    <w:rsid w:val="00411C84"/>
    <w:rsid w:val="00423FAD"/>
    <w:rsid w:val="00430787"/>
    <w:rsid w:val="00441C8F"/>
    <w:rsid w:val="00445B1D"/>
    <w:rsid w:val="0045432F"/>
    <w:rsid w:val="0045466F"/>
    <w:rsid w:val="00456EE9"/>
    <w:rsid w:val="0047653A"/>
    <w:rsid w:val="00485746"/>
    <w:rsid w:val="00486F8A"/>
    <w:rsid w:val="00491DF5"/>
    <w:rsid w:val="004A3A69"/>
    <w:rsid w:val="004A4C66"/>
    <w:rsid w:val="004A7435"/>
    <w:rsid w:val="004B6C9C"/>
    <w:rsid w:val="004C3B06"/>
    <w:rsid w:val="004C5D8B"/>
    <w:rsid w:val="004C62E4"/>
    <w:rsid w:val="004E1484"/>
    <w:rsid w:val="004E560F"/>
    <w:rsid w:val="004E5981"/>
    <w:rsid w:val="004E7854"/>
    <w:rsid w:val="004F614F"/>
    <w:rsid w:val="005006A7"/>
    <w:rsid w:val="00501D6B"/>
    <w:rsid w:val="00513A96"/>
    <w:rsid w:val="00514571"/>
    <w:rsid w:val="00520855"/>
    <w:rsid w:val="00521569"/>
    <w:rsid w:val="00526D4E"/>
    <w:rsid w:val="005308E5"/>
    <w:rsid w:val="0053159E"/>
    <w:rsid w:val="00537D55"/>
    <w:rsid w:val="0054219A"/>
    <w:rsid w:val="00543EE7"/>
    <w:rsid w:val="00544A6F"/>
    <w:rsid w:val="00544E2A"/>
    <w:rsid w:val="005458E9"/>
    <w:rsid w:val="0054735B"/>
    <w:rsid w:val="005559F3"/>
    <w:rsid w:val="005739C9"/>
    <w:rsid w:val="00576501"/>
    <w:rsid w:val="00581FA7"/>
    <w:rsid w:val="0058705E"/>
    <w:rsid w:val="00590805"/>
    <w:rsid w:val="005A0FFB"/>
    <w:rsid w:val="005A1696"/>
    <w:rsid w:val="005A17AB"/>
    <w:rsid w:val="005A6581"/>
    <w:rsid w:val="005A6991"/>
    <w:rsid w:val="005B0F97"/>
    <w:rsid w:val="005C06A8"/>
    <w:rsid w:val="005C5D42"/>
    <w:rsid w:val="005C5FF7"/>
    <w:rsid w:val="005D7533"/>
    <w:rsid w:val="005D7ADF"/>
    <w:rsid w:val="005E14BE"/>
    <w:rsid w:val="005E50E1"/>
    <w:rsid w:val="005E7CC7"/>
    <w:rsid w:val="005F297D"/>
    <w:rsid w:val="005F7904"/>
    <w:rsid w:val="0060363D"/>
    <w:rsid w:val="00607956"/>
    <w:rsid w:val="0061071C"/>
    <w:rsid w:val="00615395"/>
    <w:rsid w:val="006201D8"/>
    <w:rsid w:val="00621D45"/>
    <w:rsid w:val="00625A34"/>
    <w:rsid w:val="006275EC"/>
    <w:rsid w:val="00627A9F"/>
    <w:rsid w:val="00630B20"/>
    <w:rsid w:val="00635ECE"/>
    <w:rsid w:val="00636D5E"/>
    <w:rsid w:val="00645B3C"/>
    <w:rsid w:val="0064689C"/>
    <w:rsid w:val="00653575"/>
    <w:rsid w:val="00657A71"/>
    <w:rsid w:val="0066499B"/>
    <w:rsid w:val="00666284"/>
    <w:rsid w:val="0067085A"/>
    <w:rsid w:val="00670F62"/>
    <w:rsid w:val="00675284"/>
    <w:rsid w:val="00686E1B"/>
    <w:rsid w:val="006878B1"/>
    <w:rsid w:val="006910A4"/>
    <w:rsid w:val="0069484B"/>
    <w:rsid w:val="00696955"/>
    <w:rsid w:val="006974F6"/>
    <w:rsid w:val="00697DE6"/>
    <w:rsid w:val="006A5C0C"/>
    <w:rsid w:val="006A7D62"/>
    <w:rsid w:val="006C001A"/>
    <w:rsid w:val="006C1ED1"/>
    <w:rsid w:val="006C4225"/>
    <w:rsid w:val="006C59BD"/>
    <w:rsid w:val="006D22E6"/>
    <w:rsid w:val="006D4ED1"/>
    <w:rsid w:val="006D5577"/>
    <w:rsid w:val="006D7D84"/>
    <w:rsid w:val="006E4C3F"/>
    <w:rsid w:val="00700712"/>
    <w:rsid w:val="00702A1C"/>
    <w:rsid w:val="00712E15"/>
    <w:rsid w:val="00713F36"/>
    <w:rsid w:val="007157D6"/>
    <w:rsid w:val="007169DC"/>
    <w:rsid w:val="00721964"/>
    <w:rsid w:val="00721D27"/>
    <w:rsid w:val="00725EE0"/>
    <w:rsid w:val="00731E47"/>
    <w:rsid w:val="0073340F"/>
    <w:rsid w:val="0073532B"/>
    <w:rsid w:val="007354AB"/>
    <w:rsid w:val="00735E41"/>
    <w:rsid w:val="0073794D"/>
    <w:rsid w:val="007459D1"/>
    <w:rsid w:val="0074771A"/>
    <w:rsid w:val="00752FB7"/>
    <w:rsid w:val="00753DE1"/>
    <w:rsid w:val="00761CEB"/>
    <w:rsid w:val="00765DE7"/>
    <w:rsid w:val="0079558C"/>
    <w:rsid w:val="007A3A46"/>
    <w:rsid w:val="007A58C8"/>
    <w:rsid w:val="007A5A7C"/>
    <w:rsid w:val="007A5C75"/>
    <w:rsid w:val="007A6A95"/>
    <w:rsid w:val="007B2BAE"/>
    <w:rsid w:val="007D10EB"/>
    <w:rsid w:val="007D7469"/>
    <w:rsid w:val="007E1873"/>
    <w:rsid w:val="007F25B7"/>
    <w:rsid w:val="007F2C8C"/>
    <w:rsid w:val="007F7BCE"/>
    <w:rsid w:val="00801B62"/>
    <w:rsid w:val="0080488D"/>
    <w:rsid w:val="00811ACB"/>
    <w:rsid w:val="008140FC"/>
    <w:rsid w:val="00820520"/>
    <w:rsid w:val="00821904"/>
    <w:rsid w:val="00822BA3"/>
    <w:rsid w:val="00822EB1"/>
    <w:rsid w:val="008240F1"/>
    <w:rsid w:val="00832C79"/>
    <w:rsid w:val="00836B64"/>
    <w:rsid w:val="008418C9"/>
    <w:rsid w:val="008439F9"/>
    <w:rsid w:val="00843FB6"/>
    <w:rsid w:val="00852479"/>
    <w:rsid w:val="00862C40"/>
    <w:rsid w:val="00870434"/>
    <w:rsid w:val="00873F0D"/>
    <w:rsid w:val="008747A1"/>
    <w:rsid w:val="008751E1"/>
    <w:rsid w:val="00881DDE"/>
    <w:rsid w:val="008848A4"/>
    <w:rsid w:val="008855AD"/>
    <w:rsid w:val="00885EC4"/>
    <w:rsid w:val="00887629"/>
    <w:rsid w:val="00893C5F"/>
    <w:rsid w:val="008A5944"/>
    <w:rsid w:val="008A5EA3"/>
    <w:rsid w:val="008B0ED4"/>
    <w:rsid w:val="008B48E7"/>
    <w:rsid w:val="008C2C7D"/>
    <w:rsid w:val="008C62FD"/>
    <w:rsid w:val="008C658A"/>
    <w:rsid w:val="008D4FCE"/>
    <w:rsid w:val="008E1559"/>
    <w:rsid w:val="008E4306"/>
    <w:rsid w:val="008E4B60"/>
    <w:rsid w:val="008F37E0"/>
    <w:rsid w:val="00901F95"/>
    <w:rsid w:val="009049A3"/>
    <w:rsid w:val="00910F17"/>
    <w:rsid w:val="00911051"/>
    <w:rsid w:val="00914591"/>
    <w:rsid w:val="00927CE6"/>
    <w:rsid w:val="00944976"/>
    <w:rsid w:val="00945B7A"/>
    <w:rsid w:val="00946023"/>
    <w:rsid w:val="0094660D"/>
    <w:rsid w:val="00951354"/>
    <w:rsid w:val="009571E9"/>
    <w:rsid w:val="0096263D"/>
    <w:rsid w:val="009703A9"/>
    <w:rsid w:val="009712D3"/>
    <w:rsid w:val="00973BA8"/>
    <w:rsid w:val="009777ED"/>
    <w:rsid w:val="009834A4"/>
    <w:rsid w:val="00984832"/>
    <w:rsid w:val="00987102"/>
    <w:rsid w:val="0098721F"/>
    <w:rsid w:val="00996247"/>
    <w:rsid w:val="0099650B"/>
    <w:rsid w:val="009A1B74"/>
    <w:rsid w:val="009B12F9"/>
    <w:rsid w:val="009B2585"/>
    <w:rsid w:val="009B3728"/>
    <w:rsid w:val="009B4871"/>
    <w:rsid w:val="009C06FE"/>
    <w:rsid w:val="009D18AB"/>
    <w:rsid w:val="009E7642"/>
    <w:rsid w:val="00A000F7"/>
    <w:rsid w:val="00A0780F"/>
    <w:rsid w:val="00A10808"/>
    <w:rsid w:val="00A1110A"/>
    <w:rsid w:val="00A146B8"/>
    <w:rsid w:val="00A20A67"/>
    <w:rsid w:val="00A241CB"/>
    <w:rsid w:val="00A30D76"/>
    <w:rsid w:val="00A3250D"/>
    <w:rsid w:val="00A334C4"/>
    <w:rsid w:val="00A34748"/>
    <w:rsid w:val="00A34C5F"/>
    <w:rsid w:val="00A37ED8"/>
    <w:rsid w:val="00A42B56"/>
    <w:rsid w:val="00A523C0"/>
    <w:rsid w:val="00A56187"/>
    <w:rsid w:val="00A56DC9"/>
    <w:rsid w:val="00A62629"/>
    <w:rsid w:val="00A77C31"/>
    <w:rsid w:val="00A86D94"/>
    <w:rsid w:val="00A91C9C"/>
    <w:rsid w:val="00A95DB9"/>
    <w:rsid w:val="00AA2CC6"/>
    <w:rsid w:val="00AA3422"/>
    <w:rsid w:val="00AB22C5"/>
    <w:rsid w:val="00AB2343"/>
    <w:rsid w:val="00AB26B2"/>
    <w:rsid w:val="00AC1287"/>
    <w:rsid w:val="00AC6D7A"/>
    <w:rsid w:val="00AD2A02"/>
    <w:rsid w:val="00AD5313"/>
    <w:rsid w:val="00AE6071"/>
    <w:rsid w:val="00AF1982"/>
    <w:rsid w:val="00AF7EA1"/>
    <w:rsid w:val="00B02F28"/>
    <w:rsid w:val="00B04545"/>
    <w:rsid w:val="00B0717F"/>
    <w:rsid w:val="00B10AE8"/>
    <w:rsid w:val="00B146DA"/>
    <w:rsid w:val="00B24F05"/>
    <w:rsid w:val="00B33566"/>
    <w:rsid w:val="00B346B2"/>
    <w:rsid w:val="00B353EA"/>
    <w:rsid w:val="00B36DC2"/>
    <w:rsid w:val="00B46F53"/>
    <w:rsid w:val="00B736A7"/>
    <w:rsid w:val="00B8439A"/>
    <w:rsid w:val="00B85237"/>
    <w:rsid w:val="00B85855"/>
    <w:rsid w:val="00B922E5"/>
    <w:rsid w:val="00B94D42"/>
    <w:rsid w:val="00BA5564"/>
    <w:rsid w:val="00BA7432"/>
    <w:rsid w:val="00BB00E6"/>
    <w:rsid w:val="00BB10E6"/>
    <w:rsid w:val="00BB42D9"/>
    <w:rsid w:val="00BB47F4"/>
    <w:rsid w:val="00BB5A75"/>
    <w:rsid w:val="00BC3229"/>
    <w:rsid w:val="00BC57F9"/>
    <w:rsid w:val="00BC5E14"/>
    <w:rsid w:val="00BD05A1"/>
    <w:rsid w:val="00BD1F3C"/>
    <w:rsid w:val="00BD7E35"/>
    <w:rsid w:val="00BE5FAB"/>
    <w:rsid w:val="00BE65FB"/>
    <w:rsid w:val="00BE66E3"/>
    <w:rsid w:val="00BE6F38"/>
    <w:rsid w:val="00BF4071"/>
    <w:rsid w:val="00BF68CE"/>
    <w:rsid w:val="00C06932"/>
    <w:rsid w:val="00C06E7A"/>
    <w:rsid w:val="00C1213A"/>
    <w:rsid w:val="00C1581F"/>
    <w:rsid w:val="00C205A5"/>
    <w:rsid w:val="00C42CF6"/>
    <w:rsid w:val="00C451C2"/>
    <w:rsid w:val="00C556ED"/>
    <w:rsid w:val="00C55A42"/>
    <w:rsid w:val="00C56E2E"/>
    <w:rsid w:val="00C57331"/>
    <w:rsid w:val="00C63E07"/>
    <w:rsid w:val="00C732E8"/>
    <w:rsid w:val="00C74840"/>
    <w:rsid w:val="00C758DD"/>
    <w:rsid w:val="00C75A75"/>
    <w:rsid w:val="00C90E77"/>
    <w:rsid w:val="00C95138"/>
    <w:rsid w:val="00CC0210"/>
    <w:rsid w:val="00CC3196"/>
    <w:rsid w:val="00CC3604"/>
    <w:rsid w:val="00CC5EBC"/>
    <w:rsid w:val="00CC65AD"/>
    <w:rsid w:val="00CD4B2C"/>
    <w:rsid w:val="00CE187E"/>
    <w:rsid w:val="00CF6342"/>
    <w:rsid w:val="00D03410"/>
    <w:rsid w:val="00D039CD"/>
    <w:rsid w:val="00D21D9F"/>
    <w:rsid w:val="00D2356B"/>
    <w:rsid w:val="00D25137"/>
    <w:rsid w:val="00D27A72"/>
    <w:rsid w:val="00D32813"/>
    <w:rsid w:val="00D361B2"/>
    <w:rsid w:val="00D40406"/>
    <w:rsid w:val="00D42652"/>
    <w:rsid w:val="00D4413C"/>
    <w:rsid w:val="00D45724"/>
    <w:rsid w:val="00D6472B"/>
    <w:rsid w:val="00D66490"/>
    <w:rsid w:val="00D67389"/>
    <w:rsid w:val="00D73699"/>
    <w:rsid w:val="00D84159"/>
    <w:rsid w:val="00D85B37"/>
    <w:rsid w:val="00D86B00"/>
    <w:rsid w:val="00D87E62"/>
    <w:rsid w:val="00D91928"/>
    <w:rsid w:val="00DA2056"/>
    <w:rsid w:val="00DA6E4D"/>
    <w:rsid w:val="00DC074A"/>
    <w:rsid w:val="00DD39B4"/>
    <w:rsid w:val="00DD6EF0"/>
    <w:rsid w:val="00DE1E99"/>
    <w:rsid w:val="00DE2B30"/>
    <w:rsid w:val="00DE4B54"/>
    <w:rsid w:val="00DE7662"/>
    <w:rsid w:val="00DF4FD2"/>
    <w:rsid w:val="00E01B26"/>
    <w:rsid w:val="00E06AC6"/>
    <w:rsid w:val="00E06D3D"/>
    <w:rsid w:val="00E06D5B"/>
    <w:rsid w:val="00E1738B"/>
    <w:rsid w:val="00E222E9"/>
    <w:rsid w:val="00E31E91"/>
    <w:rsid w:val="00E33973"/>
    <w:rsid w:val="00E35048"/>
    <w:rsid w:val="00E36BDB"/>
    <w:rsid w:val="00E5083C"/>
    <w:rsid w:val="00E51ED2"/>
    <w:rsid w:val="00E560C8"/>
    <w:rsid w:val="00E568AD"/>
    <w:rsid w:val="00E6239C"/>
    <w:rsid w:val="00E633C2"/>
    <w:rsid w:val="00E658D3"/>
    <w:rsid w:val="00E66A2A"/>
    <w:rsid w:val="00E71655"/>
    <w:rsid w:val="00E8129D"/>
    <w:rsid w:val="00E8470D"/>
    <w:rsid w:val="00E868A7"/>
    <w:rsid w:val="00E869A8"/>
    <w:rsid w:val="00E9215F"/>
    <w:rsid w:val="00E92FAE"/>
    <w:rsid w:val="00E9496D"/>
    <w:rsid w:val="00E95D1E"/>
    <w:rsid w:val="00EA0276"/>
    <w:rsid w:val="00EA20CF"/>
    <w:rsid w:val="00EA310F"/>
    <w:rsid w:val="00EA40C4"/>
    <w:rsid w:val="00EB3E25"/>
    <w:rsid w:val="00EB569F"/>
    <w:rsid w:val="00EB743F"/>
    <w:rsid w:val="00ED0E75"/>
    <w:rsid w:val="00ED1B85"/>
    <w:rsid w:val="00EE005E"/>
    <w:rsid w:val="00EF6723"/>
    <w:rsid w:val="00F01F8A"/>
    <w:rsid w:val="00F04FAA"/>
    <w:rsid w:val="00F06FED"/>
    <w:rsid w:val="00F07DB8"/>
    <w:rsid w:val="00F13DBC"/>
    <w:rsid w:val="00F2549C"/>
    <w:rsid w:val="00F402F0"/>
    <w:rsid w:val="00F4201B"/>
    <w:rsid w:val="00F42B20"/>
    <w:rsid w:val="00F452C5"/>
    <w:rsid w:val="00F50B52"/>
    <w:rsid w:val="00F5243C"/>
    <w:rsid w:val="00F604FC"/>
    <w:rsid w:val="00F708E4"/>
    <w:rsid w:val="00F71129"/>
    <w:rsid w:val="00F824EE"/>
    <w:rsid w:val="00F83C8F"/>
    <w:rsid w:val="00F8470B"/>
    <w:rsid w:val="00F84DD4"/>
    <w:rsid w:val="00F851FF"/>
    <w:rsid w:val="00F9122A"/>
    <w:rsid w:val="00FA0010"/>
    <w:rsid w:val="00FA1149"/>
    <w:rsid w:val="00FA67D2"/>
    <w:rsid w:val="00FB064D"/>
    <w:rsid w:val="00FB3CD1"/>
    <w:rsid w:val="00FB4D6E"/>
    <w:rsid w:val="00FC7C70"/>
    <w:rsid w:val="00FD0497"/>
    <w:rsid w:val="00FD1385"/>
    <w:rsid w:val="00FD2C59"/>
    <w:rsid w:val="00FD44F1"/>
    <w:rsid w:val="00FE5356"/>
    <w:rsid w:val="00FE7D27"/>
    <w:rsid w:val="00FF3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5:docId w15:val="{7D8D5C55-BC6C-44F9-B2D5-41E10575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uiPriority w:val="9"/>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uiPriority w:val="9"/>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uiPriority w:val="9"/>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99"/>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96263D"/>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99"/>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96263D"/>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10"/>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table" w:customStyle="1" w:styleId="TableGridLight2">
    <w:name w:val="Table Grid Light2"/>
    <w:basedOn w:val="TableNormal"/>
    <w:rsid w:val="000536DE"/>
    <w:rPr>
      <w:rFonts w:ascii="Helvetica" w:hAnsi="Helvetica" w:cs="Helvetica"/>
      <w:sz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8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en.wikipedia.org/wiki/Twisted_pair"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en.wikipedia.org/wiki/Plain_old_telephone_servi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en.wikipedia.org/wiki/Telephone_switch"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en.wikipedia.org/wiki/DSLAM" TargetMode="External"/><Relationship Id="rId20" Type="http://schemas.openxmlformats.org/officeDocument/2006/relationships/hyperlink" Target="http://en.wikipedia.org/wiki/DS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en.wikipedia.org/wiki/Subscriber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n.wikipedia.org/wiki/Telephone_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Telephone_exchange" TargetMode="External"/><Relationship Id="rId22" Type="http://schemas.openxmlformats.org/officeDocument/2006/relationships/hyperlink" Target="javascript:BSSCPopup('PSTNNetwork.htm');"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8C389280-52D3-4B0B-8494-ADB21025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468</TotalTime>
  <Pages>1</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22381</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cp:keywords>Belgacom Letter</cp:keywords>
  <cp:lastModifiedBy>Mohamed Mustafa Ahmed Al Lawati</cp:lastModifiedBy>
  <cp:revision>88</cp:revision>
  <cp:lastPrinted>2016-05-29T10:09:00Z</cp:lastPrinted>
  <dcterms:created xsi:type="dcterms:W3CDTF">2016-05-03T08:57:00Z</dcterms:created>
  <dcterms:modified xsi:type="dcterms:W3CDTF">2016-05-29T10:09:00Z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