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1DD56" w14:textId="77777777" w:rsidR="0029357C" w:rsidRPr="00A70C58" w:rsidRDefault="00CB7CC1"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w14:anchorId="602BF5BA">
          <v:shapetype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" o:allowoverlap="f" filled="f" stroked="f">
            <v:textbox inset="0,0,0,0">
              <w:txbxContent>
                <w:p w14:paraId="383422FC"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32EFC1B" w14:textId="77777777" w:rsidR="003A4FA4" w:rsidRPr="00822BA3" w:rsidRDefault="003A4FA4" w:rsidP="00F3130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F31306">
                    <w:rPr>
                      <w:rFonts w:ascii="Helvetica" w:hAnsi="Helvetica"/>
                      <w:b w:val="0"/>
                      <w:color w:val="00559B"/>
                      <w:sz w:val="52"/>
                      <w:szCs w:val="52"/>
                    </w:rPr>
                    <w:t xml:space="preserve">Access and </w:t>
                  </w:r>
                  <w:r>
                    <w:rPr>
                      <w:rFonts w:ascii="Helvetica" w:hAnsi="Helvetica"/>
                      <w:b w:val="0"/>
                      <w:color w:val="00559B"/>
                      <w:sz w:val="52"/>
                      <w:szCs w:val="52"/>
                    </w:rPr>
                    <w:t>Interconnect</w:t>
                  </w:r>
                  <w:r w:rsidR="007C18E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7D71CB">
                    <w:rPr>
                      <w:rFonts w:ascii="Helvetica" w:hAnsi="Helvetica"/>
                      <w:b w:val="0"/>
                      <w:color w:val="00559B"/>
                      <w:sz w:val="40"/>
                      <w:szCs w:val="40"/>
                    </w:rPr>
                    <w:t>F</w:t>
                  </w:r>
                  <w:r w:rsidRPr="00B04545">
                    <w:rPr>
                      <w:rFonts w:ascii="Helvetica" w:hAnsi="Helvetica"/>
                      <w:b w:val="0"/>
                      <w:color w:val="00559B"/>
                      <w:sz w:val="40"/>
                      <w:szCs w:val="40"/>
                    </w:rPr>
                    <w:t xml:space="preserve"> </w:t>
                  </w:r>
                  <w:r w:rsidR="007D71CB">
                    <w:rPr>
                      <w:rFonts w:ascii="Helvetica" w:hAnsi="Helvetica"/>
                      <w:b w:val="0"/>
                      <w:color w:val="00559B"/>
                      <w:sz w:val="40"/>
                      <w:szCs w:val="40"/>
                    </w:rPr>
                    <w:t>Forecast</w:t>
                  </w:r>
                </w:p>
              </w:txbxContent>
            </v:textbox>
            <w10:wrap type="tight" anchorx="page" anchory="page"/>
          </v:shape>
        </w:pict>
      </w:r>
    </w:p>
    <w:p w14:paraId="75B53116" w14:textId="77777777" w:rsidR="00761CEB" w:rsidRDefault="00761CEB">
      <w:pPr>
        <w:spacing w:after="0" w:line="240" w:lineRule="auto"/>
      </w:pPr>
    </w:p>
    <w:p w14:paraId="43291B25" w14:textId="77777777" w:rsidR="003F41F3" w:rsidRPr="00F2549C" w:rsidRDefault="00007D9C">
      <w:pPr>
        <w:spacing w:after="0" w:line="240" w:lineRule="auto"/>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7C18EE">
        <w:rPr>
          <w:color w:val="4A93D1"/>
          <w:sz w:val="32"/>
          <w:szCs w:val="32"/>
          <w:u w:val="single"/>
        </w:rPr>
        <w:t>s</w:t>
      </w:r>
    </w:p>
    <w:p w14:paraId="1B03218D" w14:textId="77777777" w:rsidR="003F41F3" w:rsidRDefault="003F41F3">
      <w:pPr>
        <w:spacing w:after="0" w:line="240" w:lineRule="auto"/>
        <w:rPr>
          <w:rFonts w:eastAsia="Times"/>
          <w:kern w:val="32"/>
          <w:sz w:val="24"/>
        </w:rPr>
      </w:pPr>
    </w:p>
    <w:p w14:paraId="622AE028" w14:textId="77777777" w:rsidR="00A14302" w:rsidRDefault="00587509">
      <w:pPr>
        <w:pStyle w:val="TOC1"/>
        <w:rPr>
          <w:rFonts w:asciiTheme="minorHAnsi" w:eastAsiaTheme="minorEastAsia" w:hAnsiTheme="minorHAnsi" w:cstheme="minorBidi"/>
          <w:b w:val="0"/>
          <w:color w:val="auto"/>
          <w:sz w:val="22"/>
          <w:szCs w:val="22"/>
        </w:rPr>
      </w:pPr>
      <w:r>
        <w:rPr>
          <w:bCs/>
        </w:rPr>
        <w:fldChar w:fldCharType="begin"/>
      </w:r>
      <w:r w:rsidR="009C405D">
        <w:rPr>
          <w:bCs/>
        </w:rPr>
        <w:instrText xml:space="preserve"> TOC \o "1-1" \h \z \u </w:instrText>
      </w:r>
      <w:r>
        <w:rPr>
          <w:bCs/>
        </w:rPr>
        <w:fldChar w:fldCharType="separate"/>
      </w:r>
      <w:hyperlink w:anchor="_Toc451176538" w:history="1">
        <w:r w:rsidR="00A14302" w:rsidRPr="001D518D">
          <w:rPr>
            <w:rStyle w:val="Hyperlink"/>
          </w:rPr>
          <w:t>1</w:t>
        </w:r>
        <w:r w:rsidR="00A14302">
          <w:rPr>
            <w:rFonts w:asciiTheme="minorHAnsi" w:eastAsiaTheme="minorEastAsia" w:hAnsiTheme="minorHAnsi" w:cstheme="minorBidi"/>
            <w:b w:val="0"/>
            <w:color w:val="auto"/>
            <w:sz w:val="22"/>
            <w:szCs w:val="22"/>
          </w:rPr>
          <w:tab/>
        </w:r>
        <w:r w:rsidR="00A14302" w:rsidRPr="001D518D">
          <w:rPr>
            <w:rStyle w:val="Hyperlink"/>
          </w:rPr>
          <w:t>General</w:t>
        </w:r>
        <w:r w:rsidR="00A14302">
          <w:rPr>
            <w:webHidden/>
          </w:rPr>
          <w:tab/>
        </w:r>
        <w:r>
          <w:rPr>
            <w:webHidden/>
          </w:rPr>
          <w:fldChar w:fldCharType="begin"/>
        </w:r>
        <w:r w:rsidR="00A14302">
          <w:rPr>
            <w:webHidden/>
          </w:rPr>
          <w:instrText xml:space="preserve"> PAGEREF _Toc451176538 \h </w:instrText>
        </w:r>
        <w:r>
          <w:rPr>
            <w:webHidden/>
          </w:rPr>
        </w:r>
        <w:r>
          <w:rPr>
            <w:webHidden/>
          </w:rPr>
          <w:fldChar w:fldCharType="separate"/>
        </w:r>
        <w:r w:rsidR="00ED593A">
          <w:rPr>
            <w:webHidden/>
          </w:rPr>
          <w:t>3</w:t>
        </w:r>
        <w:r>
          <w:rPr>
            <w:webHidden/>
          </w:rPr>
          <w:fldChar w:fldCharType="end"/>
        </w:r>
      </w:hyperlink>
    </w:p>
    <w:p w14:paraId="21E658BE" w14:textId="77777777" w:rsidR="00A14302" w:rsidRDefault="00CB7CC1">
      <w:pPr>
        <w:pStyle w:val="TOC1"/>
        <w:rPr>
          <w:rFonts w:asciiTheme="minorHAnsi" w:eastAsiaTheme="minorEastAsia" w:hAnsiTheme="minorHAnsi" w:cstheme="minorBidi"/>
          <w:b w:val="0"/>
          <w:color w:val="auto"/>
          <w:sz w:val="22"/>
          <w:szCs w:val="22"/>
        </w:rPr>
      </w:pPr>
      <w:hyperlink w:anchor="_Toc451176539" w:history="1">
        <w:r w:rsidR="00A14302" w:rsidRPr="001D518D">
          <w:rPr>
            <w:rStyle w:val="Hyperlink"/>
          </w:rPr>
          <w:t>2</w:t>
        </w:r>
        <w:r w:rsidR="00A14302">
          <w:rPr>
            <w:rFonts w:asciiTheme="minorHAnsi" w:eastAsiaTheme="minorEastAsia" w:hAnsiTheme="minorHAnsi" w:cstheme="minorBidi"/>
            <w:b w:val="0"/>
            <w:color w:val="auto"/>
            <w:sz w:val="22"/>
            <w:szCs w:val="22"/>
          </w:rPr>
          <w:tab/>
        </w:r>
        <w:r w:rsidR="00A14302" w:rsidRPr="001D518D">
          <w:rPr>
            <w:rStyle w:val="Hyperlink"/>
          </w:rPr>
          <w:t>Definition</w:t>
        </w:r>
        <w:r w:rsidR="00A14302">
          <w:rPr>
            <w:webHidden/>
          </w:rPr>
          <w:tab/>
        </w:r>
        <w:r w:rsidR="00587509">
          <w:rPr>
            <w:webHidden/>
          </w:rPr>
          <w:fldChar w:fldCharType="begin"/>
        </w:r>
        <w:r w:rsidR="00A14302">
          <w:rPr>
            <w:webHidden/>
          </w:rPr>
          <w:instrText xml:space="preserve"> PAGEREF _Toc451176539 \h </w:instrText>
        </w:r>
        <w:r w:rsidR="00587509">
          <w:rPr>
            <w:webHidden/>
          </w:rPr>
        </w:r>
        <w:r w:rsidR="00587509">
          <w:rPr>
            <w:webHidden/>
          </w:rPr>
          <w:fldChar w:fldCharType="separate"/>
        </w:r>
        <w:r w:rsidR="00ED593A">
          <w:rPr>
            <w:webHidden/>
          </w:rPr>
          <w:t>4</w:t>
        </w:r>
        <w:r w:rsidR="00587509">
          <w:rPr>
            <w:webHidden/>
          </w:rPr>
          <w:fldChar w:fldCharType="end"/>
        </w:r>
      </w:hyperlink>
    </w:p>
    <w:p w14:paraId="1CE72E51" w14:textId="77777777" w:rsidR="00A14302" w:rsidRDefault="00CB7CC1">
      <w:pPr>
        <w:pStyle w:val="TOC1"/>
        <w:rPr>
          <w:rFonts w:asciiTheme="minorHAnsi" w:eastAsiaTheme="minorEastAsia" w:hAnsiTheme="minorHAnsi" w:cstheme="minorBidi"/>
          <w:b w:val="0"/>
          <w:color w:val="auto"/>
          <w:sz w:val="22"/>
          <w:szCs w:val="22"/>
        </w:rPr>
      </w:pPr>
      <w:hyperlink w:anchor="_Toc451176540" w:history="1">
        <w:r w:rsidR="00A14302" w:rsidRPr="001D518D">
          <w:rPr>
            <w:rStyle w:val="Hyperlink"/>
          </w:rPr>
          <w:t>3</w:t>
        </w:r>
        <w:r w:rsidR="00A14302">
          <w:rPr>
            <w:rFonts w:asciiTheme="minorHAnsi" w:eastAsiaTheme="minorEastAsia" w:hAnsiTheme="minorHAnsi" w:cstheme="minorBidi"/>
            <w:b w:val="0"/>
            <w:color w:val="auto"/>
            <w:sz w:val="22"/>
            <w:szCs w:val="22"/>
          </w:rPr>
          <w:tab/>
        </w:r>
        <w:r w:rsidR="00A14302" w:rsidRPr="001D518D">
          <w:rPr>
            <w:rStyle w:val="Hyperlink"/>
          </w:rPr>
          <w:t>Forecast Minimum Commitment</w:t>
        </w:r>
        <w:r w:rsidR="00A14302">
          <w:rPr>
            <w:webHidden/>
          </w:rPr>
          <w:tab/>
        </w:r>
        <w:r w:rsidR="00587509">
          <w:rPr>
            <w:webHidden/>
          </w:rPr>
          <w:fldChar w:fldCharType="begin"/>
        </w:r>
        <w:r w:rsidR="00A14302">
          <w:rPr>
            <w:webHidden/>
          </w:rPr>
          <w:instrText xml:space="preserve"> PAGEREF _Toc451176540 \h </w:instrText>
        </w:r>
        <w:r w:rsidR="00587509">
          <w:rPr>
            <w:webHidden/>
          </w:rPr>
        </w:r>
        <w:r w:rsidR="00587509">
          <w:rPr>
            <w:webHidden/>
          </w:rPr>
          <w:fldChar w:fldCharType="separate"/>
        </w:r>
        <w:r w:rsidR="00ED593A">
          <w:rPr>
            <w:webHidden/>
          </w:rPr>
          <w:t>5</w:t>
        </w:r>
        <w:r w:rsidR="00587509">
          <w:rPr>
            <w:webHidden/>
          </w:rPr>
          <w:fldChar w:fldCharType="end"/>
        </w:r>
      </w:hyperlink>
    </w:p>
    <w:p w14:paraId="6BE8A33A" w14:textId="77777777" w:rsidR="00A14302" w:rsidRDefault="00CB7CC1">
      <w:pPr>
        <w:pStyle w:val="TOC1"/>
        <w:rPr>
          <w:rFonts w:asciiTheme="minorHAnsi" w:eastAsiaTheme="minorEastAsia" w:hAnsiTheme="minorHAnsi" w:cstheme="minorBidi"/>
          <w:b w:val="0"/>
          <w:color w:val="auto"/>
          <w:sz w:val="22"/>
          <w:szCs w:val="22"/>
        </w:rPr>
      </w:pPr>
      <w:hyperlink w:anchor="_Toc451176541" w:history="1">
        <w:r w:rsidR="00A14302" w:rsidRPr="001D518D">
          <w:rPr>
            <w:rStyle w:val="Hyperlink"/>
          </w:rPr>
          <w:t>4</w:t>
        </w:r>
        <w:r w:rsidR="00A14302">
          <w:rPr>
            <w:rFonts w:asciiTheme="minorHAnsi" w:eastAsiaTheme="minorEastAsia" w:hAnsiTheme="minorHAnsi" w:cstheme="minorBidi"/>
            <w:b w:val="0"/>
            <w:color w:val="auto"/>
            <w:sz w:val="22"/>
            <w:szCs w:val="22"/>
          </w:rPr>
          <w:tab/>
        </w:r>
        <w:r w:rsidR="00A14302" w:rsidRPr="001D518D">
          <w:rPr>
            <w:rStyle w:val="Hyperlink"/>
          </w:rPr>
          <w:t>Actuals Exceeding Forecast</w:t>
        </w:r>
        <w:r w:rsidR="00A14302">
          <w:rPr>
            <w:webHidden/>
          </w:rPr>
          <w:tab/>
        </w:r>
        <w:r w:rsidR="00587509">
          <w:rPr>
            <w:webHidden/>
          </w:rPr>
          <w:fldChar w:fldCharType="begin"/>
        </w:r>
        <w:r w:rsidR="00A14302">
          <w:rPr>
            <w:webHidden/>
          </w:rPr>
          <w:instrText xml:space="preserve"> PAGEREF _Toc451176541 \h </w:instrText>
        </w:r>
        <w:r w:rsidR="00587509">
          <w:rPr>
            <w:webHidden/>
          </w:rPr>
        </w:r>
        <w:r w:rsidR="00587509">
          <w:rPr>
            <w:webHidden/>
          </w:rPr>
          <w:fldChar w:fldCharType="separate"/>
        </w:r>
        <w:r w:rsidR="00ED593A">
          <w:rPr>
            <w:webHidden/>
          </w:rPr>
          <w:t>6</w:t>
        </w:r>
        <w:r w:rsidR="00587509">
          <w:rPr>
            <w:webHidden/>
          </w:rPr>
          <w:fldChar w:fldCharType="end"/>
        </w:r>
      </w:hyperlink>
    </w:p>
    <w:p w14:paraId="56CAE50D" w14:textId="77777777" w:rsidR="0029357C" w:rsidRDefault="00587509" w:rsidP="00325582">
      <w:pPr>
        <w:pStyle w:val="IndexTOC"/>
        <w:tabs>
          <w:tab w:val="right" w:pos="8805"/>
          <w:tab w:val="right" w:leader="dot" w:pos="9000"/>
        </w:tabs>
        <w:spacing w:after="120"/>
        <w:ind w:right="1886"/>
        <w:rPr>
          <w:color w:val="000000"/>
        </w:rPr>
      </w:pPr>
      <w:r>
        <w:rPr>
          <w:bCs/>
          <w:noProof/>
          <w:color w:val="333333"/>
          <w:sz w:val="24"/>
        </w:rPr>
        <w:fldChar w:fldCharType="end"/>
      </w:r>
    </w:p>
    <w:p w14:paraId="40C1FCAA" w14:textId="77777777" w:rsidR="00047CF7" w:rsidRPr="00653575" w:rsidRDefault="00047CF7" w:rsidP="0029357C">
      <w:pPr>
        <w:pStyle w:val="IndexTOC"/>
        <w:tabs>
          <w:tab w:val="right" w:pos="8805"/>
          <w:tab w:val="right" w:leader="dot" w:pos="9000"/>
        </w:tabs>
        <w:spacing w:after="120"/>
        <w:ind w:right="1882"/>
        <w:rPr>
          <w:color w:val="000000"/>
        </w:rPr>
      </w:pPr>
    </w:p>
    <w:p w14:paraId="6D06D089" w14:textId="77777777" w:rsidR="00EA310F" w:rsidRDefault="00EA310F" w:rsidP="002542BD">
      <w:pPr>
        <w:pStyle w:val="Heading1"/>
      </w:pPr>
      <w:bookmarkStart w:id="0" w:name="_Toc451176538"/>
      <w:r>
        <w:lastRenderedPageBreak/>
        <w:t>General</w:t>
      </w:r>
      <w:bookmarkEnd w:id="0"/>
      <w:r>
        <w:t xml:space="preserve"> </w:t>
      </w:r>
    </w:p>
    <w:p w14:paraId="397AFC40" w14:textId="77777777" w:rsidR="007D71CB" w:rsidRDefault="007D71CB" w:rsidP="00A36FE1">
      <w:pPr>
        <w:pStyle w:val="ListParagraph"/>
      </w:pPr>
      <w:bookmarkStart w:id="1" w:name="_Toc72644661"/>
      <w:bookmarkStart w:id="2" w:name="_Toc164484007"/>
      <w:bookmarkStart w:id="3" w:name="_Toc65238730"/>
      <w:bookmarkStart w:id="4" w:name="_Toc164483427"/>
      <w:r>
        <w:t>Forecasts are essential for</w:t>
      </w:r>
      <w:r w:rsidR="00A36FE1">
        <w:t>, including but not limited to,</w:t>
      </w:r>
      <w:r>
        <w:t xml:space="preserve"> the planning </w:t>
      </w:r>
      <w:r w:rsidR="00A36FE1">
        <w:t xml:space="preserve">and dimensioning </w:t>
      </w:r>
      <w:r>
        <w:t xml:space="preserve">of the Omantel </w:t>
      </w:r>
      <w:r w:rsidR="002B1302">
        <w:t>N</w:t>
      </w:r>
      <w:r>
        <w:t xml:space="preserve">etwork capacity, the deployment and roll out of </w:t>
      </w:r>
      <w:r w:rsidR="002B1302">
        <w:t>N</w:t>
      </w:r>
      <w:r>
        <w:t>etwork facilities</w:t>
      </w:r>
      <w:r w:rsidR="00A36FE1">
        <w:t>, and connecting and disconnecting end-users of the Requesting Party</w:t>
      </w:r>
      <w:r w:rsidR="002B1302">
        <w:t>.</w:t>
      </w:r>
    </w:p>
    <w:bookmarkEnd w:id="1"/>
    <w:bookmarkEnd w:id="2"/>
    <w:bookmarkEnd w:id="3"/>
    <w:bookmarkEnd w:id="4"/>
    <w:p w14:paraId="3E2BED0E" w14:textId="77777777" w:rsidR="005805C5" w:rsidRDefault="005805C5" w:rsidP="002B1302">
      <w:pPr>
        <w:pStyle w:val="ListParagraph"/>
      </w:pPr>
      <w:r>
        <w:t>Omantel</w:t>
      </w:r>
      <w:r w:rsidR="00A36FE1">
        <w:t>,</w:t>
      </w:r>
      <w:r>
        <w:t xml:space="preserve"> </w:t>
      </w:r>
      <w:r w:rsidR="002B1302">
        <w:t xml:space="preserve">at </w:t>
      </w:r>
      <w:r>
        <w:t xml:space="preserve">its </w:t>
      </w:r>
      <w:r w:rsidR="00A36FE1">
        <w:t xml:space="preserve">sole </w:t>
      </w:r>
      <w:r>
        <w:t>discretion</w:t>
      </w:r>
      <w:r w:rsidR="00A36FE1">
        <w:t>,</w:t>
      </w:r>
      <w:r>
        <w:t xml:space="preserve"> may at any time</w:t>
      </w:r>
      <w:r w:rsidR="002B1302">
        <w:t xml:space="preserve"> in writing</w:t>
      </w:r>
      <w:r>
        <w:t xml:space="preserve"> waive the Forecast </w:t>
      </w:r>
      <w:r w:rsidR="002B22DA">
        <w:t>Clause</w:t>
      </w:r>
      <w:r w:rsidR="00A36FE1">
        <w:t>,</w:t>
      </w:r>
      <w:r>
        <w:t xml:space="preserve"> or part of it</w:t>
      </w:r>
      <w:r w:rsidR="00A36FE1">
        <w:t>,</w:t>
      </w:r>
      <w:r>
        <w:t xml:space="preserve"> during the </w:t>
      </w:r>
      <w:r w:rsidR="00A36FE1">
        <w:t>Agreement term</w:t>
      </w:r>
      <w:r>
        <w:t xml:space="preserve">. Omantel can also </w:t>
      </w:r>
      <w:r w:rsidR="002B1302">
        <w:t>rescind</w:t>
      </w:r>
      <w:r>
        <w:t xml:space="preserve"> waive</w:t>
      </w:r>
      <w:r w:rsidR="002B1302">
        <w:t>r</w:t>
      </w:r>
      <w:r>
        <w:t xml:space="preserve"> by informing </w:t>
      </w:r>
      <w:r w:rsidR="00846B4F">
        <w:t>the Requesting Party</w:t>
      </w:r>
      <w:r w:rsidR="002B1302">
        <w:t xml:space="preserve"> in writing</w:t>
      </w:r>
      <w:r>
        <w:t>.</w:t>
      </w:r>
    </w:p>
    <w:p w14:paraId="363208B4" w14:textId="77777777" w:rsidR="00D15391" w:rsidRDefault="00D15391" w:rsidP="00D15391">
      <w:pPr>
        <w:pStyle w:val="ListParagraph"/>
      </w:pPr>
      <w:r>
        <w:t>Forecasts shall be provided on a rolling basis for a period</w:t>
      </w:r>
      <w:r w:rsidR="002B1302">
        <w:t xml:space="preserve"> of</w:t>
      </w:r>
      <w:r>
        <w:t xml:space="preserve"> twelve (12) months covering one (1) </w:t>
      </w:r>
      <w:r w:rsidR="00D307F0">
        <w:t xml:space="preserve">calendar </w:t>
      </w:r>
      <w:r>
        <w:t>year, delivered to the Providing Party 10 Working Days before the start of each quarter. The quarterly dates are 1</w:t>
      </w:r>
      <w:r>
        <w:rPr>
          <w:vertAlign w:val="superscript"/>
        </w:rPr>
        <w:t>st</w:t>
      </w:r>
      <w:r>
        <w:t xml:space="preserve"> January, 1</w:t>
      </w:r>
      <w:r>
        <w:rPr>
          <w:vertAlign w:val="superscript"/>
        </w:rPr>
        <w:t>st</w:t>
      </w:r>
      <w:r>
        <w:t xml:space="preserve"> April, 1</w:t>
      </w:r>
      <w:r>
        <w:rPr>
          <w:vertAlign w:val="superscript"/>
        </w:rPr>
        <w:t>st</w:t>
      </w:r>
      <w:r>
        <w:t xml:space="preserve"> July and 1</w:t>
      </w:r>
      <w:r>
        <w:rPr>
          <w:vertAlign w:val="superscript"/>
        </w:rPr>
        <w:t>st</w:t>
      </w:r>
      <w:r>
        <w:t xml:space="preserve"> October in each </w:t>
      </w:r>
      <w:r w:rsidR="00D307F0">
        <w:t xml:space="preserve">calendar </w:t>
      </w:r>
      <w:r>
        <w:t>year.</w:t>
      </w:r>
    </w:p>
    <w:p w14:paraId="3884BA55" w14:textId="77777777" w:rsidR="00D307F0" w:rsidRDefault="00D307F0" w:rsidP="00D307F0">
      <w:pPr>
        <w:pStyle w:val="ListParagraph"/>
      </w:pPr>
      <w:r>
        <w:t xml:space="preserve">The Forecasts shall be provided in good faith and based on reasonable and achievable numbers by the Requesting Party. </w:t>
      </w:r>
    </w:p>
    <w:p w14:paraId="56ED19A8" w14:textId="77777777" w:rsidR="009528AD" w:rsidRPr="00031D1C" w:rsidRDefault="009528AD" w:rsidP="00865AD1">
      <w:pPr>
        <w:pStyle w:val="ListParagraph"/>
        <w:numPr>
          <w:ilvl w:val="0"/>
          <w:numId w:val="0"/>
        </w:numPr>
        <w:ind w:left="864"/>
      </w:pPr>
    </w:p>
    <w:p w14:paraId="60FE2682" w14:textId="77777777" w:rsidR="00257AE9" w:rsidRPr="00031D1C" w:rsidRDefault="00257AE9" w:rsidP="00257AE9">
      <w:pPr>
        <w:pStyle w:val="ListParagraph"/>
        <w:numPr>
          <w:ilvl w:val="0"/>
          <w:numId w:val="0"/>
        </w:numPr>
        <w:ind w:left="864"/>
      </w:pPr>
    </w:p>
    <w:p w14:paraId="11183953" w14:textId="77777777" w:rsidR="00EA310F" w:rsidRPr="00EA310F" w:rsidRDefault="00EA310F" w:rsidP="00EA310F"/>
    <w:p w14:paraId="695BCE70" w14:textId="77777777" w:rsidR="00B736A7" w:rsidRPr="00615395" w:rsidRDefault="00B736A7" w:rsidP="00B736A7">
      <w:pPr>
        <w:pStyle w:val="ListParagraph2"/>
        <w:numPr>
          <w:ilvl w:val="0"/>
          <w:numId w:val="0"/>
        </w:numPr>
        <w:ind w:left="864"/>
      </w:pPr>
    </w:p>
    <w:p w14:paraId="020B7BC1" w14:textId="77777777" w:rsidR="007D71CB" w:rsidRDefault="007D71CB" w:rsidP="003022A9">
      <w:pPr>
        <w:pStyle w:val="Heading1"/>
      </w:pPr>
      <w:bookmarkStart w:id="5" w:name="_Toc451176539"/>
      <w:bookmarkStart w:id="6" w:name="_Toc330973157"/>
      <w:bookmarkStart w:id="7" w:name="_Toc326522858"/>
      <w:r>
        <w:lastRenderedPageBreak/>
        <w:t>Definition</w:t>
      </w:r>
      <w:bookmarkEnd w:id="5"/>
    </w:p>
    <w:p w14:paraId="0D973F28" w14:textId="77777777" w:rsidR="001C4D0B" w:rsidRDefault="001C4D0B" w:rsidP="001C4D0B">
      <w:pPr>
        <w:pStyle w:val="ListParagraph"/>
      </w:pPr>
      <w:r>
        <w:t>The Definitions in Annex L shall apply to this Annex F in addition to the following definitions:</w:t>
      </w:r>
    </w:p>
    <w:p w14:paraId="7E5EA32B" w14:textId="77777777" w:rsidR="00A14302" w:rsidRDefault="00A14302" w:rsidP="001C4D0B">
      <w:pPr>
        <w:pStyle w:val="ListParagraph2"/>
      </w:pPr>
      <w:r>
        <w:t>Forecast – Twelve (12) months rolling forecasted numbers per month per Service updated by the Requesting Party every three months and submitted to the Providing Party.</w:t>
      </w:r>
    </w:p>
    <w:p w14:paraId="0FA69DF6" w14:textId="77777777" w:rsidR="001C4D0B" w:rsidRDefault="00A14302" w:rsidP="00A14302">
      <w:pPr>
        <w:pStyle w:val="ListParagraph2"/>
      </w:pPr>
      <w:r>
        <w:t>Committed Forecast – 80% of the forecasted numbers per month in the quarter following three (3) months and 10 Working Days after the submission of the Forecast to the Providing Party.</w:t>
      </w:r>
    </w:p>
    <w:p w14:paraId="0606AB3B" w14:textId="77777777" w:rsidR="00A36FE1" w:rsidRDefault="00A36FE1" w:rsidP="00A14302">
      <w:pPr>
        <w:pStyle w:val="Heading1"/>
      </w:pPr>
      <w:bookmarkStart w:id="8" w:name="_Toc451176540"/>
      <w:r>
        <w:lastRenderedPageBreak/>
        <w:t>Forecast Minimum Commitment</w:t>
      </w:r>
      <w:bookmarkEnd w:id="8"/>
    </w:p>
    <w:p w14:paraId="48E3A723" w14:textId="77777777" w:rsidR="00A36FE1" w:rsidRDefault="00A36FE1" w:rsidP="00A36FE1">
      <w:pPr>
        <w:pStyle w:val="ListParagraph2"/>
      </w:pPr>
      <w:r>
        <w:t xml:space="preserve">The Requesting Party shall commit to 80% of the forecasted numbers per month in the second quarter of the </w:t>
      </w:r>
      <w:r w:rsidR="0057795C">
        <w:t xml:space="preserve">respective </w:t>
      </w:r>
      <w:r>
        <w:t>Forecast provided by the Requesting Party</w:t>
      </w:r>
      <w:r w:rsidR="00C81B6E">
        <w:t xml:space="preserve"> (“Committed Forecast”)</w:t>
      </w:r>
      <w:r>
        <w:t xml:space="preserve">. </w:t>
      </w:r>
    </w:p>
    <w:p w14:paraId="608FC61A" w14:textId="77777777" w:rsidR="00A36FE1" w:rsidRDefault="00A36FE1" w:rsidP="00C81B6E">
      <w:pPr>
        <w:pStyle w:val="ListParagraph2"/>
      </w:pPr>
      <w:r>
        <w:t>As example: Ten Working Days before the start of 1</w:t>
      </w:r>
      <w:r w:rsidRPr="004D565A">
        <w:rPr>
          <w:vertAlign w:val="superscript"/>
        </w:rPr>
        <w:t>st</w:t>
      </w:r>
      <w:r>
        <w:t xml:space="preserve"> January, the Requesting Party provides a Forecast broken down per month covering 1</w:t>
      </w:r>
      <w:r w:rsidRPr="004D565A">
        <w:rPr>
          <w:vertAlign w:val="superscript"/>
        </w:rPr>
        <w:t>st</w:t>
      </w:r>
      <w:r>
        <w:t xml:space="preserve"> January to 31</w:t>
      </w:r>
      <w:r w:rsidRPr="004D565A">
        <w:rPr>
          <w:vertAlign w:val="superscript"/>
        </w:rPr>
        <w:t>st</w:t>
      </w:r>
      <w:r>
        <w:t xml:space="preserve"> December. The Requesting Party commits to 80% of the numbers forecasted for April, May and June</w:t>
      </w:r>
      <w:r w:rsidR="00C81B6E">
        <w:t xml:space="preserve"> (i.e. the Committed Forecast)</w:t>
      </w:r>
      <w:r>
        <w:t>. If the actuals of the Requesting Party in April, May and June do not reach 80%, the Providing Party has the right, at its own discretion, to invoice the Requesting</w:t>
      </w:r>
      <w:r w:rsidR="00C81B6E">
        <w:t xml:space="preserve"> Party </w:t>
      </w:r>
      <w:r w:rsidR="0057795C">
        <w:t xml:space="preserve">for </w:t>
      </w:r>
      <w:r w:rsidR="00C81B6E">
        <w:t>the C</w:t>
      </w:r>
      <w:r>
        <w:t xml:space="preserve">ommitted Forecast for April, May and June.     </w:t>
      </w:r>
    </w:p>
    <w:p w14:paraId="06AFABDD" w14:textId="77777777" w:rsidR="00A36FE1" w:rsidRDefault="00A36FE1" w:rsidP="0057795C">
      <w:pPr>
        <w:pStyle w:val="ListParagraph2"/>
      </w:pPr>
      <w:r>
        <w:t xml:space="preserve">Omantel has also the right, at its sole discretion, to waive the </w:t>
      </w:r>
      <w:r w:rsidR="00C81B6E">
        <w:t>Committed Forecast</w:t>
      </w:r>
      <w:r>
        <w:t xml:space="preserve"> for a particular </w:t>
      </w:r>
      <w:r w:rsidR="0057795C">
        <w:t>period</w:t>
      </w:r>
      <w:r>
        <w:t xml:space="preserve">. Waiver of the </w:t>
      </w:r>
      <w:r w:rsidR="00C81B6E">
        <w:t xml:space="preserve">Committed Forecast </w:t>
      </w:r>
      <w:r>
        <w:t xml:space="preserve">for one </w:t>
      </w:r>
      <w:r w:rsidR="0057795C">
        <w:t xml:space="preserve">period </w:t>
      </w:r>
      <w:r>
        <w:t xml:space="preserve">shall not be a precedent for waiver of the </w:t>
      </w:r>
      <w:r w:rsidR="00C81B6E">
        <w:t xml:space="preserve">Committed Forecast </w:t>
      </w:r>
      <w:r>
        <w:t xml:space="preserve">for any future </w:t>
      </w:r>
      <w:r w:rsidR="0057795C">
        <w:t>period</w:t>
      </w:r>
      <w:r>
        <w:t xml:space="preserve">.  </w:t>
      </w:r>
    </w:p>
    <w:p w14:paraId="1C60FDA7" w14:textId="77777777" w:rsidR="00A36FE1" w:rsidRDefault="00A36FE1" w:rsidP="00C81B6E">
      <w:pPr>
        <w:pStyle w:val="ListParagraph2"/>
      </w:pPr>
      <w:r>
        <w:t>For the avoidance of doubt, three (3) calendar months and ten (10) Working Days before the launch of any Service, the Requesting Party shall provide the Providing Party the first twelve (12) months’ Forecast where the Requesting Party commits</w:t>
      </w:r>
      <w:r w:rsidR="00C81B6E">
        <w:t xml:space="preserve"> to pay</w:t>
      </w:r>
      <w:r>
        <w:t xml:space="preserve"> </w:t>
      </w:r>
      <w:r w:rsidR="00C81B6E">
        <w:t>the Committed Forecast</w:t>
      </w:r>
      <w:r>
        <w:t xml:space="preserve"> for the first three months after launch.</w:t>
      </w:r>
    </w:p>
    <w:p w14:paraId="4FEFA444" w14:textId="77777777" w:rsidR="00A36FE1" w:rsidRDefault="00A36FE1" w:rsidP="00A14302">
      <w:pPr>
        <w:pStyle w:val="Heading1"/>
      </w:pPr>
      <w:bookmarkStart w:id="9" w:name="_Toc451176541"/>
      <w:r>
        <w:lastRenderedPageBreak/>
        <w:t>Actuals Exceeding Forecast</w:t>
      </w:r>
      <w:bookmarkEnd w:id="9"/>
    </w:p>
    <w:p w14:paraId="377DB22D" w14:textId="77777777" w:rsidR="00C81B6E" w:rsidRDefault="00C81B6E" w:rsidP="00A14302">
      <w:pPr>
        <w:pStyle w:val="ListParagraph"/>
      </w:pPr>
      <w:r>
        <w:t>If the</w:t>
      </w:r>
      <w:r w:rsidR="00A36FE1">
        <w:t xml:space="preserve"> Requesting Party</w:t>
      </w:r>
      <w:r w:rsidR="0057795C">
        <w:t>’s</w:t>
      </w:r>
      <w:r w:rsidR="00A36FE1">
        <w:t xml:space="preserve"> </w:t>
      </w:r>
      <w:r>
        <w:t>actual forecasted numbers exceeds the Forecast by 20%</w:t>
      </w:r>
      <w:r w:rsidR="0057795C">
        <w:t xml:space="preserve"> at any time</w:t>
      </w:r>
      <w:r>
        <w:t>, Omantel shall not be bound by the SLAs defined in Annex H and the SLAs in the applicable Service Sub-Annex in Annex C.</w:t>
      </w:r>
    </w:p>
    <w:p w14:paraId="6C292A48" w14:textId="77777777" w:rsidR="00C81B6E" w:rsidRDefault="00C81B6E" w:rsidP="00A14302">
      <w:pPr>
        <w:pStyle w:val="ListParagraph"/>
      </w:pPr>
      <w:r>
        <w:t>Omantel shall at all times, where feasible, use its best endeavors to provide the Requesting Party, and the Requesting Party’s end-users, the same quality parameters as Omantel is providing to its own end-users.</w:t>
      </w:r>
    </w:p>
    <w:p w14:paraId="0248065E" w14:textId="77777777" w:rsidR="00A14302" w:rsidRDefault="00A14302" w:rsidP="00A14302">
      <w:pPr>
        <w:pStyle w:val="ListParagraph"/>
      </w:pPr>
      <w:r w:rsidRPr="00A14302">
        <w:t>In case of rising quality degradations</w:t>
      </w:r>
      <w:r>
        <w:t xml:space="preserve"> of a Service</w:t>
      </w:r>
      <w:r w:rsidRPr="00A14302">
        <w:t xml:space="preserve">, Omantel shall use its best endeavors to inform the </w:t>
      </w:r>
      <w:r>
        <w:t>Requesting Party as soon as possible</w:t>
      </w:r>
      <w:r w:rsidRPr="00A14302">
        <w:t>.</w:t>
      </w:r>
    </w:p>
    <w:p w14:paraId="20290184" w14:textId="77777777" w:rsidR="006316E6" w:rsidRDefault="006316E6" w:rsidP="00A14302">
      <w:bookmarkStart w:id="10" w:name="_GoBack"/>
      <w:bookmarkEnd w:id="6"/>
      <w:bookmarkEnd w:id="7"/>
      <w:bookmarkEnd w:id="10"/>
    </w:p>
    <w:sectPr w:rsidR="006316E6"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5A953" w14:textId="77777777" w:rsidR="00CB7CC1" w:rsidRDefault="00CB7CC1">
      <w:r>
        <w:separator/>
      </w:r>
    </w:p>
    <w:p w14:paraId="034D9B84" w14:textId="77777777" w:rsidR="00CB7CC1" w:rsidRDefault="00CB7CC1"/>
  </w:endnote>
  <w:endnote w:type="continuationSeparator" w:id="0">
    <w:p w14:paraId="4E02ECBC" w14:textId="77777777" w:rsidR="00CB7CC1" w:rsidRDefault="00CB7CC1">
      <w:r>
        <w:continuationSeparator/>
      </w:r>
    </w:p>
    <w:p w14:paraId="6140B8D8" w14:textId="77777777" w:rsidR="00CB7CC1" w:rsidRDefault="00CB7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57E7" w14:textId="77777777" w:rsidR="003A4FA4" w:rsidRDefault="00CB7CC1">
    <w:pPr>
      <w:pStyle w:val="Footer"/>
    </w:pPr>
    <w:r>
      <w:rPr>
        <w:noProof/>
      </w:rPr>
      <w:pict w14:anchorId="4480B575">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A4FA4">
      <w:rPr>
        <w:noProof/>
      </w:rPr>
      <w:drawing>
        <wp:anchor distT="0" distB="0" distL="114300" distR="114300" simplePos="0" relativeHeight="251663872" behindDoc="0" locked="0" layoutInCell="1" allowOverlap="1" wp14:anchorId="18BE1ABB" wp14:editId="50142783">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303CB38B">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rPr>
      <w:pict w14:anchorId="23C0A501">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A4FA4">
      <w:rPr>
        <w:noProof/>
      </w:rPr>
      <w:drawing>
        <wp:inline distT="0" distB="0" distL="0" distR="0" wp14:anchorId="3086D21C" wp14:editId="3F373F3C">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9644" w14:textId="77777777"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6C8B7E80" w14:textId="77777777"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51AD" w14:textId="77777777"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587509" w:rsidRPr="002A3A70">
      <w:rPr>
        <w:sz w:val="16"/>
        <w:szCs w:val="16"/>
      </w:rPr>
      <w:fldChar w:fldCharType="begin"/>
    </w:r>
    <w:r w:rsidRPr="002A3A70">
      <w:rPr>
        <w:sz w:val="16"/>
        <w:szCs w:val="16"/>
      </w:rPr>
      <w:instrText xml:space="preserve"> PAGE </w:instrText>
    </w:r>
    <w:r w:rsidR="00587509" w:rsidRPr="002A3A70">
      <w:rPr>
        <w:sz w:val="16"/>
        <w:szCs w:val="16"/>
      </w:rPr>
      <w:fldChar w:fldCharType="separate"/>
    </w:r>
    <w:r w:rsidR="00770A18">
      <w:rPr>
        <w:noProof/>
        <w:sz w:val="16"/>
        <w:szCs w:val="16"/>
      </w:rPr>
      <w:t>6</w:t>
    </w:r>
    <w:r w:rsidR="00587509" w:rsidRPr="002A3A70">
      <w:rPr>
        <w:sz w:val="16"/>
        <w:szCs w:val="16"/>
      </w:rPr>
      <w:fldChar w:fldCharType="end"/>
    </w:r>
    <w:r w:rsidRPr="002A3A70">
      <w:rPr>
        <w:sz w:val="16"/>
        <w:szCs w:val="16"/>
      </w:rPr>
      <w:t xml:space="preserve"> of </w:t>
    </w:r>
    <w:r w:rsidR="00587509" w:rsidRPr="002A3A70">
      <w:rPr>
        <w:sz w:val="16"/>
        <w:szCs w:val="16"/>
      </w:rPr>
      <w:fldChar w:fldCharType="begin"/>
    </w:r>
    <w:r w:rsidRPr="002A3A70">
      <w:rPr>
        <w:sz w:val="16"/>
        <w:szCs w:val="16"/>
      </w:rPr>
      <w:instrText xml:space="preserve"> NUMPAGES </w:instrText>
    </w:r>
    <w:r w:rsidR="00587509" w:rsidRPr="002A3A70">
      <w:rPr>
        <w:sz w:val="16"/>
        <w:szCs w:val="16"/>
      </w:rPr>
      <w:fldChar w:fldCharType="separate"/>
    </w:r>
    <w:r w:rsidR="00770A18">
      <w:rPr>
        <w:noProof/>
        <w:sz w:val="16"/>
        <w:szCs w:val="16"/>
      </w:rPr>
      <w:t>6</w:t>
    </w:r>
    <w:r w:rsidR="00587509" w:rsidRPr="002A3A70">
      <w:rPr>
        <w:sz w:val="16"/>
        <w:szCs w:val="16"/>
      </w:rPr>
      <w:fldChar w:fldCharType="end"/>
    </w:r>
  </w:p>
  <w:p w14:paraId="0C4B06A9" w14:textId="77777777" w:rsidR="003A4FA4" w:rsidRPr="002A3A70" w:rsidRDefault="003A4FA4" w:rsidP="002A3A70">
    <w:pPr>
      <w:pStyle w:val="Footer"/>
      <w:tabs>
        <w:tab w:val="clear" w:pos="9700"/>
        <w:tab w:val="right" w:pos="10206"/>
      </w:tabs>
      <w:ind w:left="-993"/>
      <w:rPr>
        <w:sz w:val="16"/>
        <w:szCs w:val="16"/>
      </w:rPr>
    </w:pPr>
  </w:p>
  <w:p w14:paraId="354B2656"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465B564D" wp14:editId="390A8F74">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1F0A79C6"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F341" w14:textId="77777777" w:rsidR="003A4FA4" w:rsidRDefault="003A4FA4" w:rsidP="0029357C">
    <w:pPr>
      <w:pStyle w:val="Footer"/>
    </w:pPr>
    <w:r>
      <w:t xml:space="preserve">&lt;Customer Name&gt; &lt;Customer Project Title&gt; </w:t>
    </w:r>
  </w:p>
  <w:p w14:paraId="7609F680" w14:textId="77777777"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587509">
      <w:fldChar w:fldCharType="begin"/>
    </w:r>
    <w:r>
      <w:instrText xml:space="preserve"> PAGE </w:instrText>
    </w:r>
    <w:r w:rsidR="00587509">
      <w:fldChar w:fldCharType="separate"/>
    </w:r>
    <w:r>
      <w:rPr>
        <w:noProof/>
      </w:rPr>
      <w:t>3</w:t>
    </w:r>
    <w:r w:rsidR="00587509">
      <w:fldChar w:fldCharType="end"/>
    </w:r>
    <w:r>
      <w:t xml:space="preserve"> of </w:t>
    </w:r>
    <w:r w:rsidR="00587509">
      <w:fldChar w:fldCharType="begin"/>
    </w:r>
    <w:r w:rsidR="00BB1AF0">
      <w:instrText xml:space="preserve"> NUMPAGES </w:instrText>
    </w:r>
    <w:r w:rsidR="00587509">
      <w:fldChar w:fldCharType="separate"/>
    </w:r>
    <w:r w:rsidR="00ED593A">
      <w:rPr>
        <w:noProof/>
      </w:rPr>
      <w:t>6</w:t>
    </w:r>
    <w:r w:rsidR="00587509">
      <w:rPr>
        <w:noProof/>
      </w:rPr>
      <w:fldChar w:fldCharType="end"/>
    </w:r>
  </w:p>
  <w:p w14:paraId="7742904C" w14:textId="77777777" w:rsidR="003A4FA4" w:rsidRPr="0081597A" w:rsidRDefault="003A4FA4" w:rsidP="0029357C">
    <w:pPr>
      <w:pStyle w:val="Footer"/>
    </w:pPr>
  </w:p>
  <w:p w14:paraId="4FA6A0EE" w14:textId="77777777"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1E76" w14:textId="77777777" w:rsidR="00CB7CC1" w:rsidRDefault="00CB7CC1">
      <w:r>
        <w:separator/>
      </w:r>
    </w:p>
    <w:p w14:paraId="038987BC" w14:textId="77777777" w:rsidR="00CB7CC1" w:rsidRDefault="00CB7CC1"/>
  </w:footnote>
  <w:footnote w:type="continuationSeparator" w:id="0">
    <w:p w14:paraId="15614179" w14:textId="77777777" w:rsidR="00CB7CC1" w:rsidRDefault="00CB7CC1">
      <w:r>
        <w:continuationSeparator/>
      </w:r>
    </w:p>
    <w:p w14:paraId="4F1970DC" w14:textId="77777777" w:rsidR="00CB7CC1" w:rsidRDefault="00CB7C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427F"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4581AA14" wp14:editId="1A668D78">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F3A9" w14:textId="77777777"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F9E2" w14:textId="77777777" w:rsidR="003A4FA4" w:rsidRDefault="003A4FA4">
    <w:pPr>
      <w:rPr>
        <w:sz w:val="16"/>
        <w:szCs w:val="16"/>
      </w:rPr>
    </w:pPr>
  </w:p>
  <w:p w14:paraId="06C82BF8" w14:textId="77777777" w:rsidR="003A4FA4" w:rsidRDefault="003A4FA4" w:rsidP="00196E15">
    <w:pPr>
      <w:rPr>
        <w:sz w:val="16"/>
        <w:szCs w:val="16"/>
      </w:rPr>
    </w:pPr>
    <w:r>
      <w:rPr>
        <w:noProof/>
        <w:sz w:val="16"/>
        <w:szCs w:val="16"/>
      </w:rPr>
      <w:drawing>
        <wp:anchor distT="0" distB="0" distL="114300" distR="114300" simplePos="0" relativeHeight="251665920" behindDoc="0" locked="0" layoutInCell="1" allowOverlap="1" wp14:anchorId="6B4E0404" wp14:editId="2AFCFBF9">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196E15">
      <w:rPr>
        <w:sz w:val="16"/>
        <w:szCs w:val="16"/>
      </w:rPr>
      <w:t xml:space="preserve">Access and </w:t>
    </w:r>
    <w:r>
      <w:rPr>
        <w:sz w:val="16"/>
        <w:szCs w:val="16"/>
      </w:rPr>
      <w:t>Interconnect</w:t>
    </w:r>
    <w:r w:rsidR="007C18EE">
      <w:rPr>
        <w:sz w:val="16"/>
        <w:szCs w:val="16"/>
      </w:rPr>
      <w:t>ion</w:t>
    </w:r>
    <w:r>
      <w:rPr>
        <w:sz w:val="16"/>
        <w:szCs w:val="16"/>
      </w:rPr>
      <w:t xml:space="preserve"> Offer</w:t>
    </w:r>
  </w:p>
  <w:p w14:paraId="484B8CE7" w14:textId="77777777" w:rsidR="00D9728C" w:rsidRPr="00D9728C" w:rsidRDefault="003A4FA4" w:rsidP="00D9728C">
    <w:pPr>
      <w:rPr>
        <w:sz w:val="16"/>
        <w:szCs w:val="16"/>
      </w:rPr>
    </w:pPr>
    <w:r>
      <w:rPr>
        <w:sz w:val="16"/>
        <w:szCs w:val="16"/>
      </w:rPr>
      <w:t xml:space="preserve">Sub Annex </w:t>
    </w:r>
    <w:r w:rsidR="00D9728C">
      <w:rPr>
        <w:sz w:val="16"/>
        <w:szCs w:val="16"/>
      </w:rPr>
      <w:t>F</w:t>
    </w:r>
    <w:r>
      <w:rPr>
        <w:sz w:val="16"/>
        <w:szCs w:val="16"/>
      </w:rPr>
      <w:t xml:space="preserve"> _</w:t>
    </w:r>
    <w:r w:rsidR="00EC0938">
      <w:rPr>
        <w:sz w:val="16"/>
        <w:szCs w:val="16"/>
      </w:rPr>
      <w:t xml:space="preserve"> </w:t>
    </w:r>
    <w:r w:rsidR="00D9728C">
      <w:rPr>
        <w:sz w:val="16"/>
        <w:szCs w:val="16"/>
      </w:rPr>
      <w:t>Forecast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B49F" w14:textId="77777777" w:rsidR="003A4FA4" w:rsidRPr="006808BE" w:rsidRDefault="003A4FA4" w:rsidP="0029357C">
    <w:pPr>
      <w:rPr>
        <w:szCs w:val="18"/>
      </w:rPr>
    </w:pPr>
  </w:p>
  <w:p w14:paraId="527CFC52" w14:textId="77777777" w:rsidR="003A4FA4" w:rsidRPr="00506286" w:rsidRDefault="003A4FA4" w:rsidP="0029357C"/>
  <w:p w14:paraId="1FE8B759" w14:textId="77777777" w:rsidR="003A4FA4" w:rsidRPr="00506286" w:rsidRDefault="003A4FA4" w:rsidP="0029357C"/>
  <w:p w14:paraId="3DCE97D7" w14:textId="77777777" w:rsidR="003A4FA4" w:rsidRPr="00506286" w:rsidRDefault="003A4FA4" w:rsidP="0029357C"/>
  <w:p w14:paraId="39A3EA06" w14:textId="77777777" w:rsidR="003A4FA4" w:rsidRPr="00506286" w:rsidRDefault="003A4FA4" w:rsidP="0029357C"/>
  <w:p w14:paraId="6055B6A1" w14:textId="77777777" w:rsidR="003A4FA4" w:rsidRPr="00506286" w:rsidRDefault="003A4FA4" w:rsidP="0029357C"/>
  <w:p w14:paraId="534C1F25" w14:textId="77777777" w:rsidR="003A4FA4" w:rsidRPr="00506286" w:rsidRDefault="003A4FA4" w:rsidP="0029357C"/>
  <w:p w14:paraId="2A53B46C" w14:textId="77777777" w:rsidR="003A4FA4" w:rsidRPr="00506286" w:rsidRDefault="003A4FA4" w:rsidP="0029357C">
    <w:pPr>
      <w:rPr>
        <w:rStyle w:val="PageNumber"/>
      </w:rPr>
    </w:pPr>
  </w:p>
  <w:p w14:paraId="683D4EE0"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652E39EB" wp14:editId="3970D1F9">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1307D7B2" w14:textId="77777777"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7D9C"/>
    <w:rsid w:val="00013064"/>
    <w:rsid w:val="00013A0F"/>
    <w:rsid w:val="000209E2"/>
    <w:rsid w:val="00042009"/>
    <w:rsid w:val="00047CF7"/>
    <w:rsid w:val="000869A6"/>
    <w:rsid w:val="000928DA"/>
    <w:rsid w:val="000950EA"/>
    <w:rsid w:val="000A251E"/>
    <w:rsid w:val="000A6E58"/>
    <w:rsid w:val="000C4E52"/>
    <w:rsid w:val="000D0671"/>
    <w:rsid w:val="000E20CD"/>
    <w:rsid w:val="000E2E90"/>
    <w:rsid w:val="000F3F0B"/>
    <w:rsid w:val="00110BD4"/>
    <w:rsid w:val="00131269"/>
    <w:rsid w:val="00144294"/>
    <w:rsid w:val="00153406"/>
    <w:rsid w:val="0015344C"/>
    <w:rsid w:val="00166BA7"/>
    <w:rsid w:val="001850AD"/>
    <w:rsid w:val="00196E15"/>
    <w:rsid w:val="001C4D0B"/>
    <w:rsid w:val="001C5CEB"/>
    <w:rsid w:val="001D1951"/>
    <w:rsid w:val="001F098B"/>
    <w:rsid w:val="001F1D19"/>
    <w:rsid w:val="001F5C26"/>
    <w:rsid w:val="0020748B"/>
    <w:rsid w:val="002542BD"/>
    <w:rsid w:val="00256016"/>
    <w:rsid w:val="00257907"/>
    <w:rsid w:val="00257AE9"/>
    <w:rsid w:val="00260127"/>
    <w:rsid w:val="00263724"/>
    <w:rsid w:val="0029357C"/>
    <w:rsid w:val="002A3A70"/>
    <w:rsid w:val="002B1302"/>
    <w:rsid w:val="002B22DA"/>
    <w:rsid w:val="002F236D"/>
    <w:rsid w:val="002F5687"/>
    <w:rsid w:val="00300588"/>
    <w:rsid w:val="003022A9"/>
    <w:rsid w:val="0032372B"/>
    <w:rsid w:val="00325582"/>
    <w:rsid w:val="003311EF"/>
    <w:rsid w:val="00361503"/>
    <w:rsid w:val="00363A87"/>
    <w:rsid w:val="0037104F"/>
    <w:rsid w:val="00393E4E"/>
    <w:rsid w:val="003A4FA4"/>
    <w:rsid w:val="003B1EBE"/>
    <w:rsid w:val="003C72CE"/>
    <w:rsid w:val="003E2AEF"/>
    <w:rsid w:val="003E6055"/>
    <w:rsid w:val="003F25B4"/>
    <w:rsid w:val="003F41F3"/>
    <w:rsid w:val="00404C9D"/>
    <w:rsid w:val="00411C84"/>
    <w:rsid w:val="00420329"/>
    <w:rsid w:val="00441C8F"/>
    <w:rsid w:val="004614E4"/>
    <w:rsid w:val="004922D9"/>
    <w:rsid w:val="004A2F14"/>
    <w:rsid w:val="004A3A69"/>
    <w:rsid w:val="004B6C9C"/>
    <w:rsid w:val="004D61A7"/>
    <w:rsid w:val="004D7CBF"/>
    <w:rsid w:val="004E1484"/>
    <w:rsid w:val="004F614F"/>
    <w:rsid w:val="004F71E4"/>
    <w:rsid w:val="00513A96"/>
    <w:rsid w:val="00520855"/>
    <w:rsid w:val="00531254"/>
    <w:rsid w:val="005458E9"/>
    <w:rsid w:val="005739C9"/>
    <w:rsid w:val="0057622E"/>
    <w:rsid w:val="0057795C"/>
    <w:rsid w:val="005805C5"/>
    <w:rsid w:val="00581FA7"/>
    <w:rsid w:val="00587509"/>
    <w:rsid w:val="00590805"/>
    <w:rsid w:val="005A1696"/>
    <w:rsid w:val="005A6581"/>
    <w:rsid w:val="005A6991"/>
    <w:rsid w:val="005B3BD5"/>
    <w:rsid w:val="005B546A"/>
    <w:rsid w:val="005C5D42"/>
    <w:rsid w:val="005D3715"/>
    <w:rsid w:val="005F16CD"/>
    <w:rsid w:val="005F297D"/>
    <w:rsid w:val="005F7904"/>
    <w:rsid w:val="006057E2"/>
    <w:rsid w:val="00615395"/>
    <w:rsid w:val="00625A34"/>
    <w:rsid w:val="006275EC"/>
    <w:rsid w:val="006316E6"/>
    <w:rsid w:val="0064689C"/>
    <w:rsid w:val="00653575"/>
    <w:rsid w:val="0066499B"/>
    <w:rsid w:val="00670F62"/>
    <w:rsid w:val="00683778"/>
    <w:rsid w:val="00713F36"/>
    <w:rsid w:val="007354C2"/>
    <w:rsid w:val="0073794D"/>
    <w:rsid w:val="0074771A"/>
    <w:rsid w:val="00761CEB"/>
    <w:rsid w:val="00770A18"/>
    <w:rsid w:val="00784D7B"/>
    <w:rsid w:val="007A04EB"/>
    <w:rsid w:val="007C18EE"/>
    <w:rsid w:val="007C765A"/>
    <w:rsid w:val="007D197E"/>
    <w:rsid w:val="007D71CB"/>
    <w:rsid w:val="007F2B44"/>
    <w:rsid w:val="00811ACB"/>
    <w:rsid w:val="00820520"/>
    <w:rsid w:val="00822BA3"/>
    <w:rsid w:val="00832C79"/>
    <w:rsid w:val="008439F9"/>
    <w:rsid w:val="00846B4F"/>
    <w:rsid w:val="00865AD1"/>
    <w:rsid w:val="00874D24"/>
    <w:rsid w:val="008A4040"/>
    <w:rsid w:val="008B0ED4"/>
    <w:rsid w:val="008C2C7D"/>
    <w:rsid w:val="008E4B60"/>
    <w:rsid w:val="00927CE6"/>
    <w:rsid w:val="0093638D"/>
    <w:rsid w:val="00944976"/>
    <w:rsid w:val="00945B7A"/>
    <w:rsid w:val="009528AD"/>
    <w:rsid w:val="00964EB3"/>
    <w:rsid w:val="00973BA8"/>
    <w:rsid w:val="00984832"/>
    <w:rsid w:val="0098721F"/>
    <w:rsid w:val="009B2585"/>
    <w:rsid w:val="009C405D"/>
    <w:rsid w:val="009E7642"/>
    <w:rsid w:val="00A14302"/>
    <w:rsid w:val="00A241CB"/>
    <w:rsid w:val="00A259DF"/>
    <w:rsid w:val="00A334C4"/>
    <w:rsid w:val="00A34748"/>
    <w:rsid w:val="00A36FE1"/>
    <w:rsid w:val="00A56DC9"/>
    <w:rsid w:val="00A77C31"/>
    <w:rsid w:val="00A91C9C"/>
    <w:rsid w:val="00AC1287"/>
    <w:rsid w:val="00AC696C"/>
    <w:rsid w:val="00AD2EE1"/>
    <w:rsid w:val="00AF4D5B"/>
    <w:rsid w:val="00B04545"/>
    <w:rsid w:val="00B0717F"/>
    <w:rsid w:val="00B146DA"/>
    <w:rsid w:val="00B24F05"/>
    <w:rsid w:val="00B254A4"/>
    <w:rsid w:val="00B35688"/>
    <w:rsid w:val="00B46F53"/>
    <w:rsid w:val="00B666C4"/>
    <w:rsid w:val="00B736A7"/>
    <w:rsid w:val="00B94D42"/>
    <w:rsid w:val="00BB1AF0"/>
    <w:rsid w:val="00BB42D9"/>
    <w:rsid w:val="00BB5A75"/>
    <w:rsid w:val="00BD252C"/>
    <w:rsid w:val="00BD3DBB"/>
    <w:rsid w:val="00BE66E3"/>
    <w:rsid w:val="00BE6F38"/>
    <w:rsid w:val="00BF01F3"/>
    <w:rsid w:val="00C205A5"/>
    <w:rsid w:val="00C55A42"/>
    <w:rsid w:val="00C6208A"/>
    <w:rsid w:val="00C74840"/>
    <w:rsid w:val="00C758DD"/>
    <w:rsid w:val="00C81B6E"/>
    <w:rsid w:val="00C85ED9"/>
    <w:rsid w:val="00C907FC"/>
    <w:rsid w:val="00C95138"/>
    <w:rsid w:val="00CB5B01"/>
    <w:rsid w:val="00CB7CC1"/>
    <w:rsid w:val="00CC33D6"/>
    <w:rsid w:val="00CC65AD"/>
    <w:rsid w:val="00CD1013"/>
    <w:rsid w:val="00CD1D79"/>
    <w:rsid w:val="00D03410"/>
    <w:rsid w:val="00D039CD"/>
    <w:rsid w:val="00D15391"/>
    <w:rsid w:val="00D17B37"/>
    <w:rsid w:val="00D21D9F"/>
    <w:rsid w:val="00D307F0"/>
    <w:rsid w:val="00D32813"/>
    <w:rsid w:val="00D51E6A"/>
    <w:rsid w:val="00D7538A"/>
    <w:rsid w:val="00D84159"/>
    <w:rsid w:val="00D866BD"/>
    <w:rsid w:val="00D91928"/>
    <w:rsid w:val="00D9728C"/>
    <w:rsid w:val="00DD3EF2"/>
    <w:rsid w:val="00E06AC6"/>
    <w:rsid w:val="00E33973"/>
    <w:rsid w:val="00E568AD"/>
    <w:rsid w:val="00E658D3"/>
    <w:rsid w:val="00E66A2A"/>
    <w:rsid w:val="00E71655"/>
    <w:rsid w:val="00E77238"/>
    <w:rsid w:val="00E8470D"/>
    <w:rsid w:val="00EA310F"/>
    <w:rsid w:val="00EA3689"/>
    <w:rsid w:val="00EB3E25"/>
    <w:rsid w:val="00EC0938"/>
    <w:rsid w:val="00ED0E75"/>
    <w:rsid w:val="00ED593A"/>
    <w:rsid w:val="00EE005E"/>
    <w:rsid w:val="00F06FED"/>
    <w:rsid w:val="00F13DBC"/>
    <w:rsid w:val="00F1543E"/>
    <w:rsid w:val="00F20D3C"/>
    <w:rsid w:val="00F2549C"/>
    <w:rsid w:val="00F27E53"/>
    <w:rsid w:val="00F31306"/>
    <w:rsid w:val="00F32DAC"/>
    <w:rsid w:val="00F45EEE"/>
    <w:rsid w:val="00F84B1E"/>
    <w:rsid w:val="00FA67D2"/>
    <w:rsid w:val="00FB0533"/>
    <w:rsid w:val="00FB064D"/>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66AA1BC4"/>
  <w15:docId w15:val="{D42AE34B-497F-40F6-9DD4-A43735B2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E744F-3E07-4C51-A010-282ED992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TotalTime>
  <Pages>6</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3590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4</cp:revision>
  <cp:lastPrinted>2016-05-24T11:55:00Z</cp:lastPrinted>
  <dcterms:created xsi:type="dcterms:W3CDTF">2016-05-25T08:18:00Z</dcterms:created>
  <dcterms:modified xsi:type="dcterms:W3CDTF">2016-05-28T13:04:00Z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